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7C08" w14:textId="62AB85EB" w:rsidR="00243447" w:rsidRDefault="00243447" w:rsidP="00053493">
      <w:pPr>
        <w:pStyle w:val="NormalWeb"/>
        <w:tabs>
          <w:tab w:val="left" w:pos="142"/>
        </w:tabs>
        <w:rPr>
          <w:rFonts w:ascii="Book Antiqua" w:hAnsi="Book Antiqua"/>
          <w:b/>
          <w:sz w:val="28"/>
          <w:szCs w:val="28"/>
        </w:rPr>
      </w:pPr>
    </w:p>
    <w:p w14:paraId="0B679AD6" w14:textId="77777777" w:rsidR="00AC2D22" w:rsidRPr="00AC2D22" w:rsidRDefault="00AC2D22" w:rsidP="00AC2D22">
      <w:pPr>
        <w:tabs>
          <w:tab w:val="left" w:pos="7650"/>
        </w:tabs>
        <w:ind w:right="40"/>
        <w:jc w:val="center"/>
        <w:rPr>
          <w:rFonts w:ascii="Book Antiqua" w:hAnsi="Book Antiqua"/>
          <w:b/>
          <w:sz w:val="28"/>
          <w:szCs w:val="28"/>
          <w:lang w:val="id-ID" w:eastAsia="id-ID"/>
        </w:rPr>
      </w:pPr>
      <w:r w:rsidRPr="00AC2D22">
        <w:rPr>
          <w:rFonts w:ascii="Book Antiqua" w:hAnsi="Book Antiqua"/>
          <w:b/>
          <w:sz w:val="28"/>
          <w:szCs w:val="28"/>
          <w:lang w:val="id-ID" w:eastAsia="id-ID"/>
        </w:rPr>
        <w:t xml:space="preserve">Fundamental Analysis in Stock Valuation </w:t>
      </w:r>
    </w:p>
    <w:p w14:paraId="358F8673" w14:textId="20ABB306" w:rsidR="001D6C19" w:rsidRDefault="00AC2D22" w:rsidP="00AC2D22">
      <w:pPr>
        <w:tabs>
          <w:tab w:val="left" w:pos="7650"/>
        </w:tabs>
        <w:ind w:right="40"/>
        <w:jc w:val="center"/>
        <w:rPr>
          <w:rFonts w:ascii="Book Antiqua" w:hAnsi="Book Antiqua"/>
          <w:b/>
          <w:sz w:val="28"/>
          <w:szCs w:val="28"/>
          <w:lang w:val="id-ID" w:eastAsia="id-ID"/>
        </w:rPr>
      </w:pPr>
      <w:r w:rsidRPr="00AC2D22">
        <w:rPr>
          <w:rFonts w:ascii="Book Antiqua" w:hAnsi="Book Antiqua"/>
          <w:b/>
          <w:sz w:val="28"/>
          <w:szCs w:val="28"/>
          <w:lang w:val="id-ID" w:eastAsia="id-ID"/>
        </w:rPr>
        <w:t>at PT Aneka Tambang Tbk (ANTM) for Investment Decisions</w:t>
      </w:r>
    </w:p>
    <w:p w14:paraId="0EDC5ADA" w14:textId="77777777" w:rsidR="00AC2D22" w:rsidRDefault="00AC2D22" w:rsidP="00AC2D22">
      <w:pPr>
        <w:tabs>
          <w:tab w:val="left" w:pos="7650"/>
        </w:tabs>
        <w:ind w:right="40"/>
        <w:jc w:val="center"/>
        <w:rPr>
          <w:rFonts w:ascii="Book Antiqua" w:hAnsi="Book Antiqua"/>
          <w:b/>
          <w:bCs/>
          <w:sz w:val="24"/>
          <w:szCs w:val="24"/>
        </w:rPr>
      </w:pPr>
    </w:p>
    <w:p w14:paraId="5E25C5F0" w14:textId="77777777" w:rsidR="001D6C19" w:rsidRPr="00243447" w:rsidRDefault="001D6C19" w:rsidP="001D6C19">
      <w:pPr>
        <w:spacing w:line="30" w:lineRule="auto"/>
        <w:rPr>
          <w:rFonts w:ascii="Book Antiqua" w:hAnsi="Book Antiqua"/>
          <w:sz w:val="24"/>
          <w:szCs w:val="24"/>
        </w:rPr>
      </w:pPr>
    </w:p>
    <w:p w14:paraId="6A27720F" w14:textId="122462BE" w:rsidR="001D6C19" w:rsidRPr="003D2A23" w:rsidRDefault="003E3EDF" w:rsidP="001D6C19">
      <w:pPr>
        <w:ind w:right="40"/>
        <w:jc w:val="center"/>
        <w:rPr>
          <w:rFonts w:ascii="Book Antiqua" w:hAnsi="Book Antiqua"/>
          <w:sz w:val="24"/>
          <w:szCs w:val="24"/>
          <w:lang w:val="id-ID"/>
        </w:rPr>
      </w:pPr>
      <w:r>
        <w:rPr>
          <w:rFonts w:ascii="Book Antiqua" w:hAnsi="Book Antiqua"/>
          <w:b/>
          <w:bCs/>
          <w:sz w:val="24"/>
          <w:szCs w:val="24"/>
          <w:lang w:val="it-IT"/>
        </w:rPr>
        <w:t>Annisa Apriani</w:t>
      </w:r>
      <w:r w:rsidR="001D6C19" w:rsidRPr="004E656C">
        <w:rPr>
          <w:rFonts w:ascii="Book Antiqua" w:hAnsi="Book Antiqua"/>
          <w:b/>
          <w:bCs/>
          <w:sz w:val="24"/>
          <w:szCs w:val="24"/>
          <w:vertAlign w:val="superscript"/>
          <w:lang w:val="it-IT"/>
        </w:rPr>
        <w:t>1</w:t>
      </w:r>
      <w:r w:rsidR="001D6C19" w:rsidRPr="00243447">
        <w:rPr>
          <w:rFonts w:ascii="Book Antiqua" w:hAnsi="Book Antiqua"/>
          <w:sz w:val="24"/>
          <w:szCs w:val="24"/>
          <w:lang w:val="it-IT"/>
        </w:rPr>
        <w:t xml:space="preserve">, </w:t>
      </w:r>
      <w:r w:rsidR="002D1713">
        <w:rPr>
          <w:rFonts w:ascii="Book Antiqua" w:hAnsi="Book Antiqua"/>
          <w:b/>
          <w:bCs/>
          <w:sz w:val="24"/>
          <w:szCs w:val="24"/>
          <w:lang w:val="id-ID"/>
        </w:rPr>
        <w:t>Indah Setia Utami</w:t>
      </w:r>
      <w:r w:rsidR="002D1713">
        <w:rPr>
          <w:rFonts w:ascii="Book Antiqua" w:hAnsi="Book Antiqua"/>
          <w:b/>
          <w:bCs/>
          <w:sz w:val="24"/>
          <w:szCs w:val="24"/>
          <w:vertAlign w:val="superscript"/>
          <w:lang w:val="id-ID"/>
        </w:rPr>
        <w:t>2</w:t>
      </w:r>
      <w:r w:rsidR="001D6C19">
        <w:rPr>
          <w:rFonts w:ascii="Book Antiqua" w:hAnsi="Book Antiqua"/>
          <w:b/>
          <w:bCs/>
          <w:sz w:val="24"/>
          <w:szCs w:val="24"/>
          <w:vertAlign w:val="superscript"/>
          <w:lang w:val="id-ID"/>
        </w:rPr>
        <w:t>*</w:t>
      </w:r>
    </w:p>
    <w:p w14:paraId="064F9C8B" w14:textId="6CF6BD69" w:rsidR="001D6C19" w:rsidRPr="00243447" w:rsidRDefault="001D6C19" w:rsidP="001D6C19">
      <w:pPr>
        <w:ind w:right="40"/>
        <w:jc w:val="center"/>
        <w:rPr>
          <w:rFonts w:ascii="Book Antiqua" w:hAnsi="Book Antiqua"/>
          <w:sz w:val="24"/>
          <w:szCs w:val="24"/>
          <w:lang w:val="it-IT"/>
        </w:rPr>
      </w:pPr>
      <w:r w:rsidRPr="00243447">
        <w:rPr>
          <w:rFonts w:ascii="Book Antiqua" w:hAnsi="Book Antiqua"/>
          <w:sz w:val="24"/>
          <w:szCs w:val="24"/>
          <w:vertAlign w:val="superscript"/>
          <w:lang w:val="it-IT"/>
        </w:rPr>
        <w:t>1</w:t>
      </w:r>
      <w:r w:rsidR="00B34FFA">
        <w:rPr>
          <w:rFonts w:ascii="Book Antiqua" w:hAnsi="Book Antiqua"/>
          <w:sz w:val="24"/>
          <w:szCs w:val="24"/>
          <w:vertAlign w:val="superscript"/>
          <w:lang w:val="it-IT"/>
        </w:rPr>
        <w:t>,2</w:t>
      </w:r>
      <w:r>
        <w:rPr>
          <w:rFonts w:ascii="Book Antiqua" w:hAnsi="Book Antiqua"/>
          <w:sz w:val="24"/>
          <w:szCs w:val="24"/>
          <w:vertAlign w:val="superscript"/>
          <w:lang w:val="it-IT"/>
        </w:rPr>
        <w:t xml:space="preserve"> </w:t>
      </w:r>
      <w:r>
        <w:rPr>
          <w:rFonts w:ascii="Book Antiqua" w:hAnsi="Book Antiqua"/>
          <w:sz w:val="24"/>
          <w:szCs w:val="24"/>
          <w:lang w:val="it-IT"/>
        </w:rPr>
        <w:t>Universitas Terbuka, Pondok Cabe, Indonesia</w:t>
      </w:r>
    </w:p>
    <w:p w14:paraId="612969DA" w14:textId="1BF27313" w:rsidR="008325AB" w:rsidRDefault="001D6C19" w:rsidP="001D6C19">
      <w:pPr>
        <w:ind w:right="40"/>
        <w:jc w:val="center"/>
      </w:pPr>
      <w:r w:rsidRPr="001D6C19">
        <w:rPr>
          <w:rFonts w:ascii="Book Antiqua" w:hAnsi="Book Antiqua"/>
          <w:sz w:val="21"/>
          <w:szCs w:val="21"/>
        </w:rPr>
        <w:t>*corresponding</w:t>
      </w:r>
      <w:r w:rsidRPr="001D6C19">
        <w:rPr>
          <w:rFonts w:ascii="Book Antiqua" w:hAnsi="Book Antiqua"/>
          <w:sz w:val="21"/>
          <w:szCs w:val="21"/>
          <w:lang w:val="id-ID"/>
        </w:rPr>
        <w:t xml:space="preserve"> </w:t>
      </w:r>
      <w:r w:rsidRPr="001D6C19">
        <w:rPr>
          <w:rFonts w:ascii="Book Antiqua" w:hAnsi="Book Antiqua"/>
          <w:sz w:val="21"/>
          <w:szCs w:val="21"/>
        </w:rPr>
        <w:t xml:space="preserve">author e-mail: </w:t>
      </w:r>
      <w:hyperlink r:id="rId8" w:history="1">
        <w:r w:rsidR="008325AB" w:rsidRPr="008325AB">
          <w:rPr>
            <w:rStyle w:val="Hyperlink"/>
            <w:rFonts w:ascii="Book Antiqua" w:hAnsi="Book Antiqua"/>
          </w:rPr>
          <w:t>indah.utami@ecampus.ut.ac.id</w:t>
        </w:r>
      </w:hyperlink>
    </w:p>
    <w:p w14:paraId="7FBBB323" w14:textId="4F3A302C" w:rsidR="00243447" w:rsidRPr="008325AB" w:rsidRDefault="00243447" w:rsidP="008325AB">
      <w:pPr>
        <w:ind w:right="40"/>
        <w:jc w:val="center"/>
        <w:rPr>
          <w:rFonts w:ascii="Book Antiqua" w:hAnsi="Book Antiqua"/>
          <w:lang w:val="id-ID"/>
        </w:rPr>
      </w:pPr>
      <w:hyperlink r:id="rId9" w:history="1"/>
    </w:p>
    <w:tbl>
      <w:tblPr>
        <w:tblW w:w="10241" w:type="dxa"/>
        <w:tblBorders>
          <w:top w:val="single" w:sz="8" w:space="0" w:color="000000"/>
          <w:bottom w:val="single" w:sz="8" w:space="0" w:color="auto"/>
          <w:insideH w:val="single" w:sz="8" w:space="0" w:color="000000"/>
        </w:tblBorders>
        <w:tblLayout w:type="fixed"/>
        <w:tblLook w:val="0400" w:firstRow="0" w:lastRow="0" w:firstColumn="0" w:lastColumn="0" w:noHBand="0" w:noVBand="1"/>
      </w:tblPr>
      <w:tblGrid>
        <w:gridCol w:w="3936"/>
        <w:gridCol w:w="6305"/>
      </w:tblGrid>
      <w:tr w:rsidR="00A1789A" w:rsidRPr="001D7CCD" w14:paraId="1CFC7C54" w14:textId="77777777" w:rsidTr="00CB772F">
        <w:tc>
          <w:tcPr>
            <w:tcW w:w="3936" w:type="dxa"/>
          </w:tcPr>
          <w:p w14:paraId="2C09366D" w14:textId="77777777" w:rsidR="00A1789A" w:rsidRPr="001D7CCD" w:rsidRDefault="00A1789A" w:rsidP="00CB772F">
            <w:pPr>
              <w:pBdr>
                <w:top w:val="nil"/>
                <w:left w:val="nil"/>
                <w:bottom w:val="nil"/>
                <w:right w:val="nil"/>
                <w:between w:val="nil"/>
              </w:pBdr>
              <w:tabs>
                <w:tab w:val="left" w:pos="567"/>
              </w:tabs>
              <w:rPr>
                <w:rFonts w:ascii="Book Antiqua" w:hAnsi="Book Antiqua"/>
                <w:b/>
                <w:bCs/>
                <w:color w:val="000000"/>
                <w:sz w:val="20"/>
                <w:szCs w:val="20"/>
              </w:rPr>
            </w:pPr>
            <w:r w:rsidRPr="001D7CCD">
              <w:rPr>
                <w:rFonts w:ascii="Book Antiqua" w:hAnsi="Book Antiqua"/>
                <w:b/>
                <w:bCs/>
                <w:color w:val="000000"/>
                <w:sz w:val="20"/>
                <w:szCs w:val="20"/>
              </w:rPr>
              <w:t>Article Info</w:t>
            </w:r>
          </w:p>
        </w:tc>
        <w:tc>
          <w:tcPr>
            <w:tcW w:w="6305" w:type="dxa"/>
            <w:vMerge w:val="restart"/>
          </w:tcPr>
          <w:p w14:paraId="7879BA07" w14:textId="77777777" w:rsidR="00A1789A" w:rsidRPr="00900E82" w:rsidRDefault="00A1789A" w:rsidP="00CB772F">
            <w:pPr>
              <w:pStyle w:val="BodyText"/>
              <w:pBdr>
                <w:left w:val="single" w:sz="8" w:space="1" w:color="auto"/>
              </w:pBdr>
              <w:spacing w:before="7"/>
              <w:ind w:left="0"/>
              <w:jc w:val="left"/>
              <w:rPr>
                <w:rFonts w:ascii="Book Antiqua" w:hAnsi="Book Antiqua"/>
                <w:b/>
                <w:bCs/>
                <w:sz w:val="20"/>
                <w:szCs w:val="20"/>
              </w:rPr>
            </w:pPr>
            <w:r w:rsidRPr="001D7CCD">
              <w:rPr>
                <w:rFonts w:ascii="Book Antiqua" w:hAnsi="Book Antiqua"/>
                <w:b/>
                <w:bCs/>
                <w:sz w:val="20"/>
                <w:szCs w:val="20"/>
              </w:rPr>
              <w:t xml:space="preserve">Abstract </w:t>
            </w:r>
          </w:p>
          <w:p w14:paraId="70E294DA" w14:textId="7DDC756B" w:rsidR="00A1789A" w:rsidRPr="00D902B9" w:rsidRDefault="00A1789A" w:rsidP="00CB772F">
            <w:pPr>
              <w:pStyle w:val="BodyText"/>
              <w:pBdr>
                <w:left w:val="single" w:sz="8" w:space="1" w:color="auto"/>
              </w:pBdr>
              <w:spacing w:before="7"/>
              <w:ind w:left="0"/>
              <w:rPr>
                <w:rFonts w:ascii="Book Antiqua" w:hAnsi="Book Antiqua"/>
                <w:b/>
                <w:bCs/>
                <w:sz w:val="20"/>
                <w:szCs w:val="20"/>
              </w:rPr>
            </w:pPr>
            <w:r w:rsidRPr="00D902B9">
              <w:rPr>
                <w:rFonts w:ascii="Book Antiqua" w:hAnsi="Book Antiqua"/>
                <w:b/>
                <w:bCs/>
                <w:sz w:val="20"/>
                <w:szCs w:val="20"/>
              </w:rPr>
              <w:t xml:space="preserve">Purpose – </w:t>
            </w:r>
            <w:r w:rsidR="002C3F14" w:rsidRPr="002C3F14">
              <w:rPr>
                <w:rFonts w:ascii="Book Antiqua" w:hAnsi="Book Antiqua"/>
                <w:bCs/>
                <w:sz w:val="20"/>
                <w:szCs w:val="20"/>
              </w:rPr>
              <w:t>In 2023, PT Aneka Tambang Tbk (ANTM) shares are predicted to be targeted by investors with their bright prospects. Therefore, in order to help investors in making decisions. Therefore, a fundamental analysis is needed in stock valuation.</w:t>
            </w:r>
          </w:p>
          <w:p w14:paraId="5C290F7D" w14:textId="77777777" w:rsidR="00D60602" w:rsidRDefault="00A1789A" w:rsidP="00CB772F">
            <w:pPr>
              <w:pStyle w:val="BodyText"/>
              <w:pBdr>
                <w:left w:val="single" w:sz="8" w:space="1" w:color="auto"/>
              </w:pBdr>
              <w:spacing w:before="7"/>
              <w:ind w:left="0"/>
              <w:rPr>
                <w:rFonts w:ascii="Book Antiqua" w:hAnsi="Book Antiqua"/>
                <w:bCs/>
                <w:sz w:val="20"/>
                <w:szCs w:val="20"/>
                <w:lang w:val="id-ID"/>
              </w:rPr>
            </w:pPr>
            <w:r w:rsidRPr="00D902B9">
              <w:rPr>
                <w:rFonts w:ascii="Book Antiqua" w:hAnsi="Book Antiqua"/>
                <w:b/>
                <w:bCs/>
                <w:sz w:val="20"/>
                <w:szCs w:val="20"/>
              </w:rPr>
              <w:t>Design/methodology/approach –</w:t>
            </w:r>
            <w:r w:rsidRPr="00D902B9">
              <w:rPr>
                <w:rFonts w:ascii="Book Antiqua" w:hAnsi="Book Antiqua"/>
                <w:b/>
                <w:bCs/>
                <w:sz w:val="20"/>
                <w:szCs w:val="20"/>
                <w:lang w:val="id-ID"/>
              </w:rPr>
              <w:t xml:space="preserve"> </w:t>
            </w:r>
            <w:r w:rsidR="00D60602" w:rsidRPr="00D60602">
              <w:rPr>
                <w:rFonts w:ascii="Book Antiqua" w:hAnsi="Book Antiqua"/>
                <w:bCs/>
                <w:sz w:val="20"/>
                <w:szCs w:val="20"/>
                <w:lang w:val="id-ID"/>
              </w:rPr>
              <w:t xml:space="preserve">This study uses analysis techniques using the price to earnings ratio (PER) and price to book value (PBV). This research is a quantitative study with a descriptive approach. The data used in the study came from the company's website in the form of the company's annual report for 2018-2022. The data collection technique used is documentation. In determining the sample, this study uses the total sampling technique. So that the research sample obtained is PT Aneka Tambang Tbk. </w:t>
            </w:r>
          </w:p>
          <w:p w14:paraId="162B7A38" w14:textId="52C4A93B" w:rsidR="00A1789A" w:rsidRPr="001D7CCD" w:rsidRDefault="00A1789A" w:rsidP="00CB772F">
            <w:pPr>
              <w:pStyle w:val="BodyText"/>
              <w:pBdr>
                <w:left w:val="single" w:sz="8" w:space="1" w:color="auto"/>
              </w:pBdr>
              <w:spacing w:before="7"/>
              <w:ind w:left="0"/>
              <w:rPr>
                <w:rFonts w:ascii="Book Antiqua" w:hAnsi="Book Antiqua"/>
                <w:b/>
                <w:bCs/>
                <w:sz w:val="20"/>
                <w:szCs w:val="20"/>
              </w:rPr>
            </w:pPr>
            <w:r w:rsidRPr="00D902B9">
              <w:rPr>
                <w:rFonts w:ascii="Book Antiqua" w:hAnsi="Book Antiqua"/>
                <w:b/>
                <w:bCs/>
                <w:sz w:val="20"/>
                <w:szCs w:val="20"/>
              </w:rPr>
              <w:t xml:space="preserve">Findings – </w:t>
            </w:r>
            <w:r w:rsidR="00934C24" w:rsidRPr="00934C24">
              <w:rPr>
                <w:rFonts w:ascii="Book Antiqua" w:hAnsi="Book Antiqua"/>
                <w:bCs/>
                <w:sz w:val="20"/>
                <w:szCs w:val="20"/>
              </w:rPr>
              <w:t>Based on the results of the study, it can be concluded that when measured using the price to earnings ratio (PER), ANTM shares are considered cheap (undervalued) because the intrinsic value of the shares is greater than the market price of the shares. So, the shares are worth buying. Meanwhile, when measured using the price to book value (PBV), ANTM shares are considered expensive (overvalued) because the PBV value is&gt; 1. So, the shares should be sold or not bought. However, considering the fundamentals of PT Aneka Tambang Tbk, ANTM shares are still worth buying.</w:t>
            </w:r>
          </w:p>
        </w:tc>
      </w:tr>
      <w:tr w:rsidR="00A1789A" w:rsidRPr="001D7CCD" w14:paraId="5BB6398F" w14:textId="77777777" w:rsidTr="00CB772F">
        <w:tc>
          <w:tcPr>
            <w:tcW w:w="3936" w:type="dxa"/>
          </w:tcPr>
          <w:p w14:paraId="1D3A6F05" w14:textId="77777777" w:rsidR="00A1789A" w:rsidRPr="001D7CCD" w:rsidRDefault="00A1789A" w:rsidP="00CB772F">
            <w:pPr>
              <w:pBdr>
                <w:top w:val="nil"/>
                <w:left w:val="nil"/>
                <w:bottom w:val="nil"/>
                <w:right w:val="nil"/>
                <w:between w:val="nil"/>
              </w:pBdr>
              <w:tabs>
                <w:tab w:val="left" w:pos="567"/>
                <w:tab w:val="left" w:pos="1040"/>
              </w:tabs>
              <w:rPr>
                <w:rFonts w:ascii="Book Antiqua" w:hAnsi="Book Antiqua"/>
                <w:i/>
                <w:color w:val="000000"/>
                <w:sz w:val="20"/>
                <w:szCs w:val="20"/>
              </w:rPr>
            </w:pPr>
          </w:p>
          <w:p w14:paraId="65C1D7C0" w14:textId="77777777" w:rsidR="00A1789A" w:rsidRPr="001D7CCD" w:rsidRDefault="00A1789A" w:rsidP="00CB772F">
            <w:pPr>
              <w:pBdr>
                <w:top w:val="nil"/>
                <w:left w:val="nil"/>
                <w:bottom w:val="nil"/>
                <w:right w:val="nil"/>
                <w:between w:val="nil"/>
              </w:pBdr>
              <w:tabs>
                <w:tab w:val="left" w:pos="567"/>
              </w:tabs>
              <w:rPr>
                <w:rFonts w:ascii="Book Antiqua" w:hAnsi="Book Antiqua"/>
                <w:i/>
                <w:color w:val="000000"/>
                <w:sz w:val="20"/>
                <w:szCs w:val="20"/>
              </w:rPr>
            </w:pPr>
            <w:r w:rsidRPr="001D7CCD">
              <w:rPr>
                <w:rFonts w:ascii="Book Antiqua" w:hAnsi="Book Antiqua"/>
                <w:i/>
                <w:color w:val="000000"/>
                <w:sz w:val="20"/>
                <w:szCs w:val="20"/>
              </w:rPr>
              <w:t>Keywords:</w:t>
            </w:r>
          </w:p>
          <w:p w14:paraId="587EBEC9" w14:textId="24284446" w:rsidR="00A1789A" w:rsidRPr="00A1789A" w:rsidRDefault="00DC1835" w:rsidP="00A1789A">
            <w:pPr>
              <w:pStyle w:val="ListParagraph"/>
              <w:numPr>
                <w:ilvl w:val="0"/>
                <w:numId w:val="5"/>
              </w:numPr>
              <w:pBdr>
                <w:top w:val="nil"/>
                <w:left w:val="nil"/>
                <w:bottom w:val="nil"/>
                <w:right w:val="nil"/>
                <w:between w:val="nil"/>
              </w:pBdr>
              <w:jc w:val="both"/>
              <w:rPr>
                <w:rFonts w:ascii="Book Antiqua" w:hAnsi="Book Antiqua"/>
                <w:bCs/>
                <w:sz w:val="20"/>
                <w:szCs w:val="20"/>
                <w:lang w:val="id-ID"/>
              </w:rPr>
            </w:pPr>
            <w:r>
              <w:rPr>
                <w:rFonts w:ascii="Book Antiqua" w:hAnsi="Book Antiqua"/>
                <w:bCs/>
                <w:sz w:val="20"/>
                <w:szCs w:val="20"/>
                <w:lang w:val="id-ID"/>
              </w:rPr>
              <w:t>Fundamental Analysis</w:t>
            </w:r>
            <w:r w:rsidR="00A1789A" w:rsidRPr="00A1789A">
              <w:rPr>
                <w:rFonts w:ascii="Book Antiqua" w:hAnsi="Book Antiqua"/>
                <w:bCs/>
                <w:sz w:val="20"/>
                <w:szCs w:val="20"/>
                <w:lang w:val="id-ID"/>
              </w:rPr>
              <w:t>;</w:t>
            </w:r>
          </w:p>
          <w:p w14:paraId="1169FD4A" w14:textId="13E4539D" w:rsidR="00A1789A" w:rsidRPr="00A1789A" w:rsidRDefault="00BA49A5" w:rsidP="00A1789A">
            <w:pPr>
              <w:pStyle w:val="ListParagraph"/>
              <w:numPr>
                <w:ilvl w:val="0"/>
                <w:numId w:val="5"/>
              </w:numPr>
              <w:pBdr>
                <w:top w:val="nil"/>
                <w:left w:val="nil"/>
                <w:bottom w:val="nil"/>
                <w:right w:val="nil"/>
                <w:between w:val="nil"/>
              </w:pBdr>
              <w:jc w:val="both"/>
              <w:rPr>
                <w:rFonts w:ascii="Book Antiqua" w:hAnsi="Book Antiqua"/>
                <w:bCs/>
                <w:sz w:val="20"/>
                <w:szCs w:val="20"/>
                <w:lang w:val="id-ID"/>
              </w:rPr>
            </w:pPr>
            <w:r>
              <w:rPr>
                <w:rFonts w:ascii="Book Antiqua" w:hAnsi="Book Antiqua"/>
                <w:bCs/>
                <w:sz w:val="20"/>
                <w:szCs w:val="20"/>
                <w:lang w:val="id-ID"/>
              </w:rPr>
              <w:t xml:space="preserve">Investment </w:t>
            </w:r>
            <w:r w:rsidR="000579C3">
              <w:rPr>
                <w:rFonts w:ascii="Book Antiqua" w:hAnsi="Book Antiqua"/>
                <w:bCs/>
                <w:sz w:val="20"/>
                <w:szCs w:val="20"/>
                <w:lang w:val="id-ID"/>
              </w:rPr>
              <w:t>Decisions</w:t>
            </w:r>
            <w:r w:rsidR="00A1789A" w:rsidRPr="00A1789A">
              <w:rPr>
                <w:rFonts w:ascii="Book Antiqua" w:hAnsi="Book Antiqua"/>
                <w:bCs/>
                <w:sz w:val="20"/>
                <w:szCs w:val="20"/>
                <w:lang w:val="id-ID"/>
              </w:rPr>
              <w:t>;</w:t>
            </w:r>
          </w:p>
          <w:p w14:paraId="2A26B250" w14:textId="450075C6" w:rsidR="00A1789A" w:rsidRDefault="00070D1E" w:rsidP="00A1789A">
            <w:pPr>
              <w:pStyle w:val="ListParagraph"/>
              <w:numPr>
                <w:ilvl w:val="0"/>
                <w:numId w:val="5"/>
              </w:numPr>
              <w:pBdr>
                <w:top w:val="nil"/>
                <w:left w:val="nil"/>
                <w:bottom w:val="nil"/>
                <w:right w:val="nil"/>
                <w:between w:val="nil"/>
              </w:pBdr>
              <w:jc w:val="both"/>
              <w:rPr>
                <w:rFonts w:ascii="Book Antiqua" w:hAnsi="Book Antiqua"/>
                <w:bCs/>
                <w:sz w:val="20"/>
                <w:szCs w:val="20"/>
                <w:lang w:val="id-ID"/>
              </w:rPr>
            </w:pPr>
            <w:r>
              <w:rPr>
                <w:rFonts w:ascii="Book Antiqua" w:hAnsi="Book Antiqua"/>
                <w:bCs/>
                <w:sz w:val="20"/>
                <w:szCs w:val="20"/>
                <w:lang w:val="id-ID"/>
              </w:rPr>
              <w:t>Price to Earning Rasio (PER)</w:t>
            </w:r>
          </w:p>
          <w:p w14:paraId="17067187" w14:textId="6156B6C2" w:rsidR="00070D1E" w:rsidRPr="00A1789A" w:rsidRDefault="007A7A4C" w:rsidP="00A1789A">
            <w:pPr>
              <w:pStyle w:val="ListParagraph"/>
              <w:numPr>
                <w:ilvl w:val="0"/>
                <w:numId w:val="5"/>
              </w:numPr>
              <w:pBdr>
                <w:top w:val="nil"/>
                <w:left w:val="nil"/>
                <w:bottom w:val="nil"/>
                <w:right w:val="nil"/>
                <w:between w:val="nil"/>
              </w:pBdr>
              <w:jc w:val="both"/>
              <w:rPr>
                <w:rFonts w:ascii="Book Antiqua" w:hAnsi="Book Antiqua"/>
                <w:bCs/>
                <w:sz w:val="20"/>
                <w:szCs w:val="20"/>
                <w:lang w:val="id-ID"/>
              </w:rPr>
            </w:pPr>
            <w:r>
              <w:rPr>
                <w:rFonts w:ascii="Book Antiqua" w:hAnsi="Book Antiqua"/>
                <w:bCs/>
                <w:sz w:val="20"/>
                <w:szCs w:val="20"/>
                <w:lang w:val="id-ID"/>
              </w:rPr>
              <w:t>Price to Book Value (PBV)</w:t>
            </w:r>
          </w:p>
          <w:p w14:paraId="299363E8" w14:textId="77777777" w:rsidR="00A1789A" w:rsidRPr="001D7CCD" w:rsidRDefault="00A1789A" w:rsidP="00CB772F">
            <w:pPr>
              <w:pBdr>
                <w:top w:val="nil"/>
                <w:left w:val="nil"/>
                <w:bottom w:val="nil"/>
                <w:right w:val="nil"/>
                <w:between w:val="nil"/>
              </w:pBdr>
              <w:tabs>
                <w:tab w:val="left" w:pos="567"/>
                <w:tab w:val="left" w:pos="1040"/>
              </w:tabs>
              <w:rPr>
                <w:rFonts w:ascii="Book Antiqua" w:hAnsi="Book Antiqua"/>
                <w:b/>
                <w:color w:val="000000"/>
                <w:sz w:val="20"/>
                <w:szCs w:val="20"/>
              </w:rPr>
            </w:pPr>
          </w:p>
        </w:tc>
        <w:tc>
          <w:tcPr>
            <w:tcW w:w="6305" w:type="dxa"/>
            <w:vMerge/>
          </w:tcPr>
          <w:p w14:paraId="166C81A4" w14:textId="77777777" w:rsidR="00A1789A" w:rsidRPr="001D7CCD" w:rsidRDefault="00A1789A" w:rsidP="00CB772F">
            <w:pPr>
              <w:pBdr>
                <w:top w:val="nil"/>
                <w:left w:val="nil"/>
                <w:bottom w:val="nil"/>
                <w:right w:val="nil"/>
                <w:between w:val="nil"/>
              </w:pBdr>
              <w:spacing w:line="276" w:lineRule="auto"/>
              <w:rPr>
                <w:rFonts w:ascii="Book Antiqua" w:hAnsi="Book Antiqua"/>
                <w:b/>
                <w:color w:val="000000"/>
                <w:sz w:val="20"/>
                <w:szCs w:val="20"/>
              </w:rPr>
            </w:pPr>
          </w:p>
        </w:tc>
      </w:tr>
      <w:tr w:rsidR="00A1789A" w:rsidRPr="001D7CCD" w14:paraId="5506E148" w14:textId="77777777" w:rsidTr="00CB772F">
        <w:trPr>
          <w:trHeight w:val="1251"/>
        </w:trPr>
        <w:tc>
          <w:tcPr>
            <w:tcW w:w="3936" w:type="dxa"/>
          </w:tcPr>
          <w:p w14:paraId="78CAF9A3" w14:textId="77777777" w:rsidR="00A1789A" w:rsidRPr="001D7CCD" w:rsidRDefault="00A1789A" w:rsidP="00CB772F">
            <w:pPr>
              <w:pBdr>
                <w:bottom w:val="single" w:sz="8" w:space="1" w:color="auto"/>
              </w:pBdr>
              <w:ind w:right="-108"/>
              <w:jc w:val="both"/>
              <w:rPr>
                <w:rFonts w:ascii="Book Antiqua" w:eastAsia="Calibri" w:hAnsi="Book Antiqua"/>
                <w:b/>
                <w:sz w:val="20"/>
                <w:szCs w:val="20"/>
              </w:rPr>
            </w:pPr>
            <w:r w:rsidRPr="001D7CCD">
              <w:rPr>
                <w:rFonts w:ascii="Book Antiqua" w:eastAsia="Calibri" w:hAnsi="Book Antiqua"/>
                <w:b/>
                <w:sz w:val="20"/>
                <w:szCs w:val="20"/>
              </w:rPr>
              <w:t>Article History</w:t>
            </w:r>
          </w:p>
          <w:p w14:paraId="1DD7E87D" w14:textId="77777777" w:rsidR="00A1789A" w:rsidRPr="001D7CCD" w:rsidRDefault="00A1789A" w:rsidP="00CB772F">
            <w:pPr>
              <w:ind w:right="283"/>
              <w:jc w:val="both"/>
              <w:rPr>
                <w:rFonts w:ascii="Book Antiqua" w:eastAsia="Calibri" w:hAnsi="Book Antiqua"/>
                <w:b/>
                <w:sz w:val="20"/>
                <w:szCs w:val="20"/>
              </w:rPr>
            </w:pPr>
          </w:p>
          <w:p w14:paraId="7EFECA10" w14:textId="1374BEF1" w:rsidR="00A1789A" w:rsidRPr="001D7CCD" w:rsidRDefault="00A1789A" w:rsidP="00CB772F">
            <w:pPr>
              <w:tabs>
                <w:tab w:val="left" w:pos="5228"/>
              </w:tabs>
              <w:ind w:right="283"/>
              <w:jc w:val="both"/>
              <w:rPr>
                <w:rFonts w:ascii="Book Antiqua" w:eastAsia="Calibri" w:hAnsi="Book Antiqua"/>
                <w:bCs/>
                <w:sz w:val="20"/>
                <w:szCs w:val="20"/>
              </w:rPr>
            </w:pPr>
            <w:r w:rsidRPr="001D7CCD">
              <w:rPr>
                <w:rFonts w:ascii="Book Antiqua" w:eastAsia="Calibri" w:hAnsi="Book Antiqua"/>
                <w:bCs/>
                <w:sz w:val="20"/>
                <w:szCs w:val="20"/>
              </w:rPr>
              <w:t xml:space="preserve">Received: </w:t>
            </w:r>
            <w:r w:rsidR="00640C58">
              <w:rPr>
                <w:rFonts w:ascii="Book Antiqua" w:eastAsia="Calibri" w:hAnsi="Book Antiqua"/>
                <w:bCs/>
                <w:sz w:val="20"/>
                <w:szCs w:val="20"/>
              </w:rPr>
              <w:t>2025-0</w:t>
            </w:r>
            <w:r w:rsidR="00CF69F5">
              <w:rPr>
                <w:rFonts w:ascii="Book Antiqua" w:eastAsia="Calibri" w:hAnsi="Book Antiqua"/>
                <w:bCs/>
                <w:sz w:val="20"/>
                <w:szCs w:val="20"/>
              </w:rPr>
              <w:t>5-03</w:t>
            </w:r>
          </w:p>
          <w:p w14:paraId="0F9AD308" w14:textId="746B7174" w:rsidR="00A1789A" w:rsidRPr="001D7CCD" w:rsidRDefault="00A1789A" w:rsidP="00CB772F">
            <w:pPr>
              <w:ind w:right="283"/>
              <w:jc w:val="both"/>
              <w:rPr>
                <w:rFonts w:ascii="Book Antiqua" w:eastAsia="Calibri" w:hAnsi="Book Antiqua"/>
                <w:bCs/>
                <w:sz w:val="20"/>
                <w:szCs w:val="20"/>
              </w:rPr>
            </w:pPr>
            <w:r w:rsidRPr="001D7CCD">
              <w:rPr>
                <w:rFonts w:ascii="Book Antiqua" w:eastAsia="Calibri" w:hAnsi="Book Antiqua"/>
                <w:bCs/>
                <w:sz w:val="20"/>
                <w:szCs w:val="20"/>
              </w:rPr>
              <w:t xml:space="preserve">Accepted: </w:t>
            </w:r>
            <w:r w:rsidR="00640C58">
              <w:rPr>
                <w:rFonts w:ascii="Book Antiqua" w:eastAsia="Calibri" w:hAnsi="Book Antiqua"/>
                <w:bCs/>
                <w:sz w:val="20"/>
                <w:szCs w:val="20"/>
              </w:rPr>
              <w:t>2025-0</w:t>
            </w:r>
            <w:r w:rsidR="00CF69F5">
              <w:rPr>
                <w:rFonts w:ascii="Book Antiqua" w:eastAsia="Calibri" w:hAnsi="Book Antiqua"/>
                <w:bCs/>
                <w:sz w:val="20"/>
                <w:szCs w:val="20"/>
              </w:rPr>
              <w:t>5</w:t>
            </w:r>
            <w:r w:rsidR="00640C58">
              <w:rPr>
                <w:rFonts w:ascii="Book Antiqua" w:eastAsia="Calibri" w:hAnsi="Book Antiqua"/>
                <w:bCs/>
                <w:sz w:val="20"/>
                <w:szCs w:val="20"/>
              </w:rPr>
              <w:t>-20</w:t>
            </w:r>
          </w:p>
          <w:p w14:paraId="419EA01D" w14:textId="443B12AA" w:rsidR="00A1789A" w:rsidRDefault="00A1789A" w:rsidP="00CB772F">
            <w:pPr>
              <w:ind w:right="283"/>
              <w:jc w:val="both"/>
              <w:rPr>
                <w:rFonts w:ascii="Book Antiqua" w:eastAsia="Calibri" w:hAnsi="Book Antiqua"/>
                <w:bCs/>
                <w:sz w:val="20"/>
                <w:szCs w:val="20"/>
              </w:rPr>
            </w:pPr>
            <w:r w:rsidRPr="001D7CCD">
              <w:rPr>
                <w:rFonts w:ascii="Book Antiqua" w:eastAsia="Calibri" w:hAnsi="Book Antiqua"/>
                <w:bCs/>
                <w:sz w:val="20"/>
                <w:szCs w:val="20"/>
              </w:rPr>
              <w:t xml:space="preserve">Published: </w:t>
            </w:r>
            <w:r w:rsidR="00640C58">
              <w:rPr>
                <w:rFonts w:ascii="Book Antiqua" w:eastAsia="Calibri" w:hAnsi="Book Antiqua"/>
                <w:bCs/>
                <w:sz w:val="20"/>
                <w:szCs w:val="20"/>
              </w:rPr>
              <w:t>2025-0</w:t>
            </w:r>
            <w:r w:rsidR="00CF69F5">
              <w:rPr>
                <w:rFonts w:ascii="Book Antiqua" w:eastAsia="Calibri" w:hAnsi="Book Antiqua"/>
                <w:bCs/>
                <w:sz w:val="20"/>
                <w:szCs w:val="20"/>
              </w:rPr>
              <w:t>6</w:t>
            </w:r>
            <w:r w:rsidR="00640C58">
              <w:rPr>
                <w:rFonts w:ascii="Book Antiqua" w:eastAsia="Calibri" w:hAnsi="Book Antiqua"/>
                <w:bCs/>
                <w:sz w:val="20"/>
                <w:szCs w:val="20"/>
              </w:rPr>
              <w:t>-2</w:t>
            </w:r>
            <w:r w:rsidR="00843C79">
              <w:rPr>
                <w:rFonts w:ascii="Book Antiqua" w:eastAsia="Calibri" w:hAnsi="Book Antiqua"/>
                <w:bCs/>
                <w:sz w:val="20"/>
                <w:szCs w:val="20"/>
              </w:rPr>
              <w:t>6</w:t>
            </w:r>
          </w:p>
          <w:p w14:paraId="7D7159F0" w14:textId="55E3017C" w:rsidR="00A1789A" w:rsidRPr="001D7CCD" w:rsidRDefault="00A1789A" w:rsidP="00CB772F">
            <w:pPr>
              <w:ind w:right="283"/>
              <w:jc w:val="both"/>
              <w:rPr>
                <w:rFonts w:ascii="Book Antiqua" w:eastAsia="Calibri" w:hAnsi="Book Antiqua"/>
                <w:bCs/>
                <w:sz w:val="20"/>
                <w:szCs w:val="20"/>
              </w:rPr>
            </w:pPr>
            <w:r>
              <w:rPr>
                <w:rFonts w:ascii="Book Antiqua" w:eastAsia="Calibri" w:hAnsi="Book Antiqua"/>
                <w:bCs/>
                <w:sz w:val="20"/>
                <w:szCs w:val="20"/>
              </w:rPr>
              <w:t xml:space="preserve">Doi: </w:t>
            </w:r>
            <w:r w:rsidR="00640C58">
              <w:rPr>
                <w:rFonts w:ascii="Book Antiqua" w:eastAsia="Calibri" w:hAnsi="Book Antiqua"/>
                <w:bCs/>
                <w:sz w:val="20"/>
                <w:szCs w:val="20"/>
              </w:rPr>
              <w:t>-</w:t>
            </w:r>
          </w:p>
        </w:tc>
        <w:tc>
          <w:tcPr>
            <w:tcW w:w="6305" w:type="dxa"/>
            <w:vMerge/>
          </w:tcPr>
          <w:p w14:paraId="0094517D" w14:textId="77777777" w:rsidR="00A1789A" w:rsidRPr="001D7CCD" w:rsidRDefault="00A1789A" w:rsidP="00CB772F">
            <w:pPr>
              <w:pBdr>
                <w:top w:val="nil"/>
                <w:left w:val="nil"/>
                <w:bottom w:val="nil"/>
                <w:right w:val="nil"/>
                <w:between w:val="nil"/>
              </w:pBdr>
              <w:spacing w:line="276" w:lineRule="auto"/>
              <w:rPr>
                <w:rFonts w:ascii="Book Antiqua" w:hAnsi="Book Antiqua"/>
                <w:color w:val="000000"/>
                <w:sz w:val="20"/>
                <w:szCs w:val="20"/>
              </w:rPr>
            </w:pPr>
          </w:p>
        </w:tc>
      </w:tr>
    </w:tbl>
    <w:p w14:paraId="5F53DEBB" w14:textId="27A12FF7" w:rsidR="00243447" w:rsidRPr="0074489B" w:rsidRDefault="00243447" w:rsidP="00243447">
      <w:pPr>
        <w:pBdr>
          <w:top w:val="nil"/>
          <w:left w:val="nil"/>
          <w:bottom w:val="nil"/>
          <w:right w:val="nil"/>
          <w:between w:val="nil"/>
        </w:pBdr>
        <w:tabs>
          <w:tab w:val="left" w:pos="567"/>
        </w:tabs>
        <w:rPr>
          <w:color w:val="000000"/>
          <w:sz w:val="24"/>
          <w:szCs w:val="24"/>
        </w:rPr>
      </w:pPr>
    </w:p>
    <w:p w14:paraId="4D410F9F" w14:textId="77777777" w:rsidR="00991B23" w:rsidRDefault="00991B23" w:rsidP="00A1789A">
      <w:pPr>
        <w:pStyle w:val="BodyText"/>
        <w:tabs>
          <w:tab w:val="left" w:pos="1190"/>
        </w:tabs>
        <w:spacing w:before="5"/>
        <w:ind w:left="0"/>
        <w:jc w:val="left"/>
        <w:rPr>
          <w:rFonts w:ascii="Book Antiqua" w:hAnsi="Book Antiqua"/>
          <w:b/>
          <w:bCs/>
        </w:rPr>
      </w:pPr>
    </w:p>
    <w:p w14:paraId="0094EFA9" w14:textId="7F0568C7" w:rsidR="00F13218" w:rsidRDefault="001D7CCD" w:rsidP="00A1789A">
      <w:pPr>
        <w:pStyle w:val="BodyText"/>
        <w:tabs>
          <w:tab w:val="left" w:pos="1190"/>
        </w:tabs>
        <w:spacing w:before="5"/>
        <w:ind w:left="0"/>
        <w:jc w:val="left"/>
        <w:rPr>
          <w:rFonts w:ascii="Book Antiqua" w:hAnsi="Book Antiqua"/>
          <w:b/>
          <w:bCs/>
        </w:rPr>
      </w:pPr>
      <w:r>
        <w:rPr>
          <w:rFonts w:ascii="Book Antiqua" w:hAnsi="Book Antiqua"/>
          <w:b/>
          <w:bCs/>
        </w:rPr>
        <w:t>INTRODUCTION</w:t>
      </w:r>
      <w:r w:rsidR="00853905" w:rsidRPr="00243447">
        <w:rPr>
          <w:rFonts w:ascii="Book Antiqua" w:hAnsi="Book Antiqua"/>
          <w:b/>
          <w:bCs/>
        </w:rPr>
        <w:t xml:space="preserve"> </w:t>
      </w:r>
    </w:p>
    <w:p w14:paraId="6F7208AB" w14:textId="77777777" w:rsidR="00F13218" w:rsidRPr="00F13218" w:rsidRDefault="00F13218" w:rsidP="00A1789A">
      <w:pPr>
        <w:pStyle w:val="BodyText"/>
        <w:tabs>
          <w:tab w:val="left" w:pos="1190"/>
        </w:tabs>
        <w:spacing w:before="5"/>
        <w:ind w:left="0"/>
        <w:jc w:val="left"/>
        <w:rPr>
          <w:rFonts w:ascii="Book Antiqua" w:hAnsi="Book Antiqua"/>
          <w:b/>
          <w:bCs/>
        </w:rPr>
      </w:pPr>
    </w:p>
    <w:p w14:paraId="2AA8373C" w14:textId="77777777" w:rsidR="00F13218" w:rsidRDefault="00F13218" w:rsidP="00F13218">
      <w:pPr>
        <w:pStyle w:val="BodyText"/>
        <w:ind w:left="0" w:right="59" w:firstLine="719"/>
        <w:rPr>
          <w:rFonts w:ascii="Book Antiqua" w:hAnsi="Book Antiqua"/>
        </w:rPr>
      </w:pPr>
      <w:r w:rsidRPr="00F13218">
        <w:rPr>
          <w:rFonts w:ascii="Book Antiqua" w:hAnsi="Book Antiqua"/>
        </w:rPr>
        <w:t xml:space="preserve">The increasingly rapid development of the nickel industry and the euphoria of the electric vehicle (EV) battery industry and news related to the electric car giant from the United States (US), Tesla, which will build an EV factory in Indonesia provide good news for the nickel industry. The strong electric vehicle market drives the growth of the nickel industry, increases commodity prices, and finally the prospects for nickel stocks will also be positively impacted. Indonesia, especially as a warehouse for metals such as nickel, copper and bauxite, has great advantages. This good news is certainly a breath of fresh air for nickel industry companies in Indonesia. On the bmoney.id page, there are eight nickel companies that are predicted to be targeted by investors in 2023 that are listed on the Indonesia Stock Exchange (IDX), namely PT Vale Indonesia Tbk (INCO), PT Resource Alam Indonesia Tbk (KKGI), PT Timah Tbk (TINS), PT Central Omega Resources Tbk (DKFT), PT Aneka Tambang Tbk (ANTM), PT Harum Energy Tbk (HRUM), PT Ifishdeco Tbk (IFSH), and PT PAM Mineral Tbk </w:t>
      </w:r>
      <w:r w:rsidRPr="00F13218">
        <w:rPr>
          <w:rFonts w:ascii="Book Antiqua" w:hAnsi="Book Antiqua"/>
        </w:rPr>
        <w:lastRenderedPageBreak/>
        <w:t>(NICL) (Sentosa, 2023). In addition, on the idxchannel.com page, there are also three companies that have bright prospects in 2023, namely PT Vale Indonesia Tbk (INCO), PT Aneka Tambang Tbk (ANTM), and PT Merdeka Copper Gold Tbk (MDKA) (Deviyana, 2023).</w:t>
      </w:r>
    </w:p>
    <w:p w14:paraId="5736652A" w14:textId="09F85D74" w:rsidR="009A1B1A" w:rsidRPr="009A1B1A" w:rsidRDefault="009A1B1A" w:rsidP="009A1B1A">
      <w:pPr>
        <w:pStyle w:val="BodyText"/>
        <w:ind w:left="0" w:right="59" w:firstLine="719"/>
        <w:rPr>
          <w:rFonts w:ascii="Book Antiqua" w:hAnsi="Book Antiqua"/>
        </w:rPr>
      </w:pPr>
      <w:r w:rsidRPr="009A1B1A">
        <w:rPr>
          <w:rFonts w:ascii="Book Antiqua" w:hAnsi="Book Antiqua"/>
        </w:rPr>
        <w:t xml:space="preserve">In 2022, PT Aneka Tambang Tbk (ANTM) managed to get a net profit that increased rapidly from the previous year. With this increase in profit, in 2023, PT Aneka Tambang Tbk (ANTM) is estimated to have the potential to make larger stock dividend payments than the previous year to shareholders. In addition, PT Aneka Tambang Tbk (ANTM), which is one of the BUMN, is also diligent in making dividend payments every year. This certainly attracts the attention of investors who want to invest in shares in the company. According to Hartono (2022), "Investment is a delay in current consumption (use) to be included in productive assets for a certain period". In another definition, Murdiyanto &amp; Kusumaningarti (2020) state that investment is the placement of funds with the hope of getting a certain profit or return from the funds in the future. </w:t>
      </w:r>
    </w:p>
    <w:p w14:paraId="36703F1C" w14:textId="695E6FEF" w:rsidR="007944EF" w:rsidRDefault="00813A9A" w:rsidP="00F13218">
      <w:pPr>
        <w:pStyle w:val="BodyText"/>
        <w:ind w:left="0" w:right="59" w:firstLine="719"/>
        <w:rPr>
          <w:rFonts w:ascii="Book Antiqua" w:hAnsi="Book Antiqua"/>
        </w:rPr>
      </w:pPr>
      <w:r w:rsidRPr="00813A9A">
        <w:rPr>
          <w:rFonts w:ascii="Book Antiqua" w:hAnsi="Book Antiqua"/>
        </w:rPr>
        <w:t>Investment is divided into two types, namely direct investment and indirect investment. Hartono (2022) explains that direct investing can be done by purchasing financial assets that can be traded in the money market, capital market, or derivative market. Meanwhile, indirect investing can be done by purchasing securities (eg stocks or bonds) from investment companies. In making investments, to get a return, of course there is a risk in it. If investors want to get a high return, then investors also have a high risk or commonly known as high risk high return. And vice versa. To reduce this risk, investors should first analyze the fairness of stock prices. In their research, Nurhayati et al. (2022) stated that investors use more fundamental analysis because the calculations are easier to understand and the information obtained by looking at the company's condition is more accurate. In fundamental analysis, each investment instrument has a strong basis, namely the intrinsic value that can be obtained through a very careful analysis of the company's condition in the present and the future (Zaimsyah et al., 2019). Therefore, fundamental analysis is a relevant analysis in assessing stocks, especially for long-term investments.</w:t>
      </w:r>
    </w:p>
    <w:p w14:paraId="3F841993" w14:textId="28741826" w:rsidR="00813A9A" w:rsidRDefault="0050026D" w:rsidP="00F13218">
      <w:pPr>
        <w:pStyle w:val="BodyText"/>
        <w:ind w:left="0" w:right="59" w:firstLine="719"/>
        <w:rPr>
          <w:rFonts w:ascii="Book Antiqua" w:hAnsi="Book Antiqua"/>
        </w:rPr>
      </w:pPr>
      <w:r w:rsidRPr="0050026D">
        <w:rPr>
          <w:rFonts w:ascii="Book Antiqua" w:hAnsi="Book Antiqua"/>
        </w:rPr>
        <w:t xml:space="preserve">In simple terms, the assessment of fair share prices with fundamental analysis is done by comparing the intrinsic value of a share with the current market value. Intrinsic value or what is commonly called fundamental value is the estimated actual value. While market value is the value of each share formed in the market. After comparing the intrinsic value and market value, investors can find out the condition of the shares. And from the results of this analysis, investors can make more appropriate investment decisions. If the value of the shares is too expensive (overvalued), investors should not buy shares or sell shares that they already own. Conversely, if the value of the shares is too cheap (undervalued), investors should buy the shares. And if the value of the shares is in a fair condition (correctly valued), investors should hold the shares. There are two approaches to stock valuation in fundamental analysis, namely discounted cash flow techniques and relative valuation techniques. One of the popular approaches used is relative valuation techniques with the price to earnings ratio (PER) method. In a study conducted by Fahruri &amp; Ikhsan (2021), it was explained that the price to earnings ratio (PER) approach links Earning per Share (EPS) or net income per share which shows the amount of profit or return obtained by investors or shareholders. In other words, investors use the price to earnings ratio (PER) to calculate a company's ability to generate profits (Afriani &amp; Rusdayanti, 2019). For example, a company's PER value is 10, which means </w:t>
      </w:r>
      <w:r w:rsidRPr="0050026D">
        <w:rPr>
          <w:rFonts w:ascii="Book Antiqua" w:hAnsi="Book Antiqua"/>
        </w:rPr>
        <w:lastRenderedPageBreak/>
        <w:t>that the stock price is a multiple of 10 times the company's earnings. If the company's earnings are distributed in the form of dividends, a PER value of 10 means that the investment in purchasing shares will be returned in 10 years. Furthermore, Nuzula &amp; Nurlaily (2020) explain that the lower the earnings per share (EPS), the higher the price to earnings ratio (PER), which means that the stock market price is considered expensive (overvalued) and vice versa, the higher the earnings per share (EPS), the lower the price to earnings ratio (PER), which means that the stock market price is considered cheap (undervalued). Therefore, the lower the price to earnings ratio (PER), the more attractive it is to investors.</w:t>
      </w:r>
    </w:p>
    <w:p w14:paraId="404F5968" w14:textId="77777777" w:rsidR="005F728A" w:rsidRDefault="0081319C" w:rsidP="005F728A">
      <w:pPr>
        <w:pStyle w:val="BodyText"/>
        <w:ind w:left="0" w:right="59" w:firstLine="719"/>
        <w:rPr>
          <w:rFonts w:ascii="Book Antiqua" w:hAnsi="Book Antiqua"/>
        </w:rPr>
      </w:pPr>
      <w:r w:rsidRPr="0081319C">
        <w:rPr>
          <w:rFonts w:ascii="Book Antiqua" w:hAnsi="Book Antiqua"/>
        </w:rPr>
        <w:t>And another method that is also commonly used is price to book value (PBV). Alhakim (2018) stated that "Price to book value (PBV) is a stock valuation method based on the book value of a stock". He also explained,</w:t>
      </w:r>
      <w:r w:rsidR="007E2965">
        <w:rPr>
          <w:rFonts w:ascii="Book Antiqua" w:hAnsi="Book Antiqua"/>
        </w:rPr>
        <w:t xml:space="preserve"> </w:t>
      </w:r>
      <w:r w:rsidR="007E2965" w:rsidRPr="007E2965">
        <w:rPr>
          <w:rFonts w:ascii="Book Antiqua" w:hAnsi="Book Antiqua"/>
        </w:rPr>
        <w:t>Price to book value allows investors to directly compare the book value of a stock with its market value. The higher the PBV, the greater the market's confidence in the company's prospects. For companies that are running well, this ratio generally reaches above one, which indicates that the stock market value is greater than its book value. In measuring the cheapness or expensiveness of stock prices using the PBV method, using a cut of 1 which means that if the PBV value is above 1, it indicates that the stock market value is greater than its book value (overvalued), conversely if the PBV value is below 1, it means that the stock market value is smaller than its book (undervalued) (Alhakim, 2018).</w:t>
      </w:r>
    </w:p>
    <w:p w14:paraId="3EF0E39E" w14:textId="79CCC931" w:rsidR="005F728A" w:rsidRPr="005F728A" w:rsidRDefault="005F728A" w:rsidP="005F728A">
      <w:pPr>
        <w:pStyle w:val="BodyText"/>
        <w:ind w:left="0" w:right="59" w:firstLine="719"/>
        <w:rPr>
          <w:rFonts w:ascii="Book Antiqua" w:hAnsi="Book Antiqua"/>
        </w:rPr>
      </w:pPr>
      <w:r w:rsidRPr="005F728A">
        <w:rPr>
          <w:rFonts w:ascii="Book Antiqua" w:hAnsi="Book Antiqua"/>
        </w:rPr>
        <w:t xml:space="preserve">From the results of the fundamental analysis, investors can make more appropriate investment decisions. If the stock value is too expensive (overvalued), investors should not buy shares or sell shares that they already own. Conversely, if the stock value is too cheap (undervalued), investors should buy the shares. And if the stock value is in a fair condition (correctly valued), investors should hold the shares. This is in line with research conducted by Jayanti et al. (2022) concluded that investors can hold shares in five companies listed in the Jakarta Islamic Index 2017 - 2018 because they are in a Correctly Valued condition. Meanwhile, in another study conducted by Nursetyo &amp; Syarifudin (2020) on 15 company shares listed in the SRI-KEHATI index for the period 2015 - 2017 concluded that 10 company shares in their study were undervalued, so investors are advised to buy these shares. And 5 other company shares are overvalued, so investors are advised not to buy these shares or sell shares if they already have them. </w:t>
      </w:r>
    </w:p>
    <w:p w14:paraId="2117FA93" w14:textId="3A58F46C" w:rsidR="007E2965" w:rsidRDefault="005F728A" w:rsidP="005F728A">
      <w:pPr>
        <w:pStyle w:val="BodyText"/>
        <w:ind w:left="0" w:right="59" w:firstLine="719"/>
        <w:rPr>
          <w:rFonts w:ascii="Book Antiqua" w:hAnsi="Book Antiqua"/>
        </w:rPr>
      </w:pPr>
      <w:r w:rsidRPr="005F728A">
        <w:rPr>
          <w:rFonts w:ascii="Book Antiqua" w:hAnsi="Book Antiqua"/>
        </w:rPr>
        <w:t>Based on the description above, to help investors in knowing the development of the company's financial condition and assessing the company's shares and making investment decisions, it is necessary to conduct special research related to fundamental analysis in assessing shares at PT Aneka Tambang Tbk (ANTM) with a relative valuation techniques approach using the price earning ratio (PER) and price to book value (PBV) methods.</w:t>
      </w:r>
    </w:p>
    <w:p w14:paraId="7886E0BA" w14:textId="77777777" w:rsidR="00836041" w:rsidRPr="005C2FFB" w:rsidRDefault="00836041" w:rsidP="00836041">
      <w:pPr>
        <w:jc w:val="both"/>
        <w:rPr>
          <w:rFonts w:ascii="Book Antiqua" w:hAnsi="Book Antiqua"/>
          <w:b/>
          <w:bCs/>
          <w:sz w:val="24"/>
          <w:szCs w:val="24"/>
        </w:rPr>
      </w:pPr>
    </w:p>
    <w:p w14:paraId="4874D8EC" w14:textId="081117C0" w:rsidR="008F133D" w:rsidRPr="005C2FFB" w:rsidRDefault="00836041" w:rsidP="004D1283">
      <w:pPr>
        <w:pStyle w:val="Heading1"/>
        <w:ind w:left="0"/>
        <w:jc w:val="both"/>
        <w:rPr>
          <w:rFonts w:ascii="Book Antiqua" w:hAnsi="Book Antiqua"/>
        </w:rPr>
      </w:pPr>
      <w:r w:rsidRPr="005C2FFB">
        <w:rPr>
          <w:rFonts w:ascii="Book Antiqua" w:hAnsi="Book Antiqua"/>
        </w:rPr>
        <w:t>RESEARCH METHOD</w:t>
      </w:r>
    </w:p>
    <w:p w14:paraId="5E729BD3" w14:textId="77777777" w:rsidR="0037703E" w:rsidRPr="005C2FFB" w:rsidRDefault="0037703E" w:rsidP="004D1283">
      <w:pPr>
        <w:pStyle w:val="Heading1"/>
        <w:ind w:left="0"/>
        <w:jc w:val="both"/>
        <w:rPr>
          <w:rFonts w:ascii="Book Antiqua" w:hAnsi="Book Antiqua"/>
        </w:rPr>
      </w:pPr>
    </w:p>
    <w:p w14:paraId="626277BD" w14:textId="77777777" w:rsidR="00536E5B" w:rsidRDefault="005F35E5" w:rsidP="00536E5B">
      <w:pPr>
        <w:ind w:firstLine="567"/>
        <w:jc w:val="both"/>
        <w:rPr>
          <w:rFonts w:ascii="Book Antiqua" w:hAnsi="Book Antiqua"/>
          <w:sz w:val="24"/>
        </w:rPr>
      </w:pPr>
      <w:r w:rsidRPr="005F35E5">
        <w:rPr>
          <w:rFonts w:ascii="Book Antiqua" w:hAnsi="Book Antiqua"/>
          <w:sz w:val="24"/>
        </w:rPr>
        <w:t xml:space="preserve">This type of research is quantitative research with a descriptive approach. The analysis technique used is relative valuation techniques with the price earning ratio (PER) and price to book value (PBV) methods. The data source comes from the website of PT Aneka Tambang Tbk. (www.antam.com) and the data used is secondary data in the form of the company's financial statements for the period 2018 - 2022 and other relevant publications. Meanwhile, the </w:t>
      </w:r>
      <w:r w:rsidRPr="005F35E5">
        <w:rPr>
          <w:rFonts w:ascii="Book Antiqua" w:hAnsi="Book Antiqua"/>
          <w:sz w:val="24"/>
        </w:rPr>
        <w:lastRenderedPageBreak/>
        <w:t>data collection technique used in this study is documentation, namely by collecting and utilizing several written data or archives that are needed such as journals, company financial reports, and other relevant data. This research was conducted at PT Aneka Tambang Tbk with a total sampling technique because the population is only one company.</w:t>
      </w:r>
      <w:r>
        <w:rPr>
          <w:rFonts w:ascii="Book Antiqua" w:hAnsi="Book Antiqua"/>
          <w:sz w:val="24"/>
        </w:rPr>
        <w:t xml:space="preserve"> </w:t>
      </w:r>
      <w:r w:rsidRPr="005F35E5">
        <w:rPr>
          <w:rFonts w:ascii="Book Antiqua" w:hAnsi="Book Antiqua"/>
          <w:sz w:val="24"/>
        </w:rPr>
        <w:t>In analyzing the data, the steps that will be taken are as follows:</w:t>
      </w:r>
    </w:p>
    <w:p w14:paraId="11DB260D" w14:textId="5CE6B864" w:rsidR="00536E5B" w:rsidRPr="00502163" w:rsidRDefault="00536E5B" w:rsidP="00536E5B">
      <w:pPr>
        <w:pStyle w:val="ListParagraph"/>
        <w:numPr>
          <w:ilvl w:val="0"/>
          <w:numId w:val="9"/>
        </w:numPr>
        <w:jc w:val="both"/>
        <w:rPr>
          <w:rFonts w:ascii="Book Antiqua" w:hAnsi="Book Antiqua"/>
          <w:sz w:val="24"/>
        </w:rPr>
      </w:pPr>
      <w:r w:rsidRPr="00502163">
        <w:rPr>
          <w:rFonts w:ascii="Book Antiqua" w:hAnsi="Book Antiqua"/>
          <w:sz w:val="24"/>
          <w:szCs w:val="24"/>
        </w:rPr>
        <w:t>Describ</w:t>
      </w:r>
      <w:r w:rsidR="00502163">
        <w:rPr>
          <w:rFonts w:ascii="Book Antiqua" w:hAnsi="Book Antiqua"/>
          <w:sz w:val="24"/>
          <w:szCs w:val="24"/>
        </w:rPr>
        <w:t>ing</w:t>
      </w:r>
      <w:r w:rsidRPr="00502163">
        <w:rPr>
          <w:rFonts w:ascii="Book Antiqua" w:hAnsi="Book Antiqua"/>
          <w:sz w:val="24"/>
          <w:szCs w:val="24"/>
        </w:rPr>
        <w:t xml:space="preserve"> the development of the company's financial condition with fundamental variables, namely Total Asset Turnover (TATO), Current Ratio (CR), Debt to Equity Ratio (DER), Return On Equity (ROE), Earning per Share (EPS), Dividend per Share (DPS), Dividend Payout Ratio (DPR), Equity Value and Stock Price.</w:t>
      </w:r>
    </w:p>
    <w:p w14:paraId="02048895" w14:textId="7A8C1244" w:rsidR="00536E5B" w:rsidRPr="00502163" w:rsidRDefault="00536E5B" w:rsidP="00536E5B">
      <w:pPr>
        <w:pStyle w:val="ListParagraph"/>
        <w:numPr>
          <w:ilvl w:val="0"/>
          <w:numId w:val="9"/>
        </w:numPr>
        <w:jc w:val="both"/>
        <w:rPr>
          <w:rFonts w:ascii="Book Antiqua" w:hAnsi="Book Antiqua"/>
          <w:sz w:val="24"/>
        </w:rPr>
      </w:pPr>
      <w:r w:rsidRPr="00502163">
        <w:rPr>
          <w:rFonts w:ascii="Book Antiqua" w:hAnsi="Book Antiqua"/>
          <w:sz w:val="24"/>
          <w:szCs w:val="24"/>
        </w:rPr>
        <w:t>Assess</w:t>
      </w:r>
      <w:r w:rsidR="00502163">
        <w:rPr>
          <w:rFonts w:ascii="Book Antiqua" w:hAnsi="Book Antiqua"/>
          <w:sz w:val="24"/>
          <w:szCs w:val="24"/>
        </w:rPr>
        <w:t>ing</w:t>
      </w:r>
      <w:r w:rsidRPr="00502163">
        <w:rPr>
          <w:rFonts w:ascii="Book Antiqua" w:hAnsi="Book Antiqua"/>
          <w:sz w:val="24"/>
          <w:szCs w:val="24"/>
        </w:rPr>
        <w:t xml:space="preserve"> the fairness of stock prices. In assessing the fairness of stock prices, researchers will use the following steps.</w:t>
      </w:r>
    </w:p>
    <w:p w14:paraId="2421B9DA" w14:textId="7860FF9A" w:rsidR="00502163" w:rsidRPr="000C6E2C" w:rsidRDefault="00536E5B" w:rsidP="000C6E2C">
      <w:pPr>
        <w:pStyle w:val="ListParagraph"/>
        <w:numPr>
          <w:ilvl w:val="0"/>
          <w:numId w:val="10"/>
        </w:numPr>
        <w:jc w:val="both"/>
        <w:rPr>
          <w:rFonts w:ascii="Book Antiqua" w:hAnsi="Book Antiqua"/>
          <w:sz w:val="24"/>
        </w:rPr>
      </w:pPr>
      <w:r w:rsidRPr="000C6E2C">
        <w:rPr>
          <w:rFonts w:ascii="Book Antiqua" w:hAnsi="Book Antiqua"/>
          <w:sz w:val="24"/>
          <w:szCs w:val="24"/>
        </w:rPr>
        <w:t>Conducting stock valuation using relative valuation techniques with a price earning ratio (PER) approach, with the following steps (Jayanti, et al., 2022).</w:t>
      </w:r>
    </w:p>
    <w:p w14:paraId="40A93DE1" w14:textId="4A139A8C" w:rsidR="00502163" w:rsidRPr="00502163" w:rsidRDefault="00536E5B" w:rsidP="000C6E2C">
      <w:pPr>
        <w:pStyle w:val="ListParagraph"/>
        <w:numPr>
          <w:ilvl w:val="0"/>
          <w:numId w:val="11"/>
        </w:numPr>
        <w:jc w:val="both"/>
        <w:rPr>
          <w:rFonts w:ascii="Book Antiqua" w:hAnsi="Book Antiqua"/>
          <w:sz w:val="24"/>
        </w:rPr>
      </w:pPr>
      <w:r w:rsidRPr="00502163">
        <w:rPr>
          <w:rFonts w:ascii="Book Antiqua" w:hAnsi="Book Antiqua"/>
          <w:sz w:val="24"/>
          <w:szCs w:val="24"/>
        </w:rPr>
        <w:t>Calculating the expected dividend growth rate</w:t>
      </w:r>
    </w:p>
    <w:p w14:paraId="0F228917" w14:textId="77777777" w:rsidR="00502163" w:rsidRPr="0050216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g  =  ROE X (1-DPR)</w:t>
      </w:r>
    </w:p>
    <w:p w14:paraId="0233933F" w14:textId="77777777" w:rsidR="00502163" w:rsidRPr="0050216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description:</w:t>
      </w:r>
    </w:p>
    <w:p w14:paraId="34373436" w14:textId="77777777" w:rsidR="0050216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g = Expected dividend growth rate</w:t>
      </w:r>
    </w:p>
    <w:p w14:paraId="7A5E3B3A" w14:textId="77777777" w:rsidR="0050216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ROE = ROE of the observation year</w:t>
      </w:r>
    </w:p>
    <w:p w14:paraId="464F781E" w14:textId="77777777" w:rsidR="0050216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DPR = DPR previous year</w:t>
      </w:r>
    </w:p>
    <w:p w14:paraId="1EEBD3AF" w14:textId="4D091530" w:rsidR="00502163" w:rsidRPr="000C6E2C" w:rsidRDefault="00536E5B" w:rsidP="000C6E2C">
      <w:pPr>
        <w:pStyle w:val="ListParagraph"/>
        <w:numPr>
          <w:ilvl w:val="0"/>
          <w:numId w:val="11"/>
        </w:numPr>
        <w:jc w:val="both"/>
        <w:rPr>
          <w:rFonts w:ascii="Book Antiqua" w:hAnsi="Book Antiqua"/>
          <w:sz w:val="24"/>
        </w:rPr>
      </w:pPr>
      <w:r w:rsidRPr="000C6E2C">
        <w:rPr>
          <w:rFonts w:ascii="Book Antiqua" w:hAnsi="Book Antiqua"/>
          <w:sz w:val="24"/>
          <w:szCs w:val="24"/>
        </w:rPr>
        <w:t>Calculating estimated EPS</w:t>
      </w:r>
    </w:p>
    <w:p w14:paraId="78F2B7FB" w14:textId="77777777" w:rsidR="0050216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E1= EPS0 (1 + g)</w:t>
      </w:r>
    </w:p>
    <w:p w14:paraId="71750AFA" w14:textId="77777777" w:rsidR="0050216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Description:</w:t>
      </w:r>
    </w:p>
    <w:p w14:paraId="29C744BA" w14:textId="77777777" w:rsidR="00C96B3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E1 = EPS Estimates</w:t>
      </w:r>
    </w:p>
    <w:p w14:paraId="03E7C9B8" w14:textId="77777777" w:rsidR="00C96B3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EPS0 = EPS previous year</w:t>
      </w:r>
    </w:p>
    <w:p w14:paraId="705D3A0A" w14:textId="77777777" w:rsidR="00C96B33" w:rsidRDefault="00536E5B" w:rsidP="000C6E2C">
      <w:pPr>
        <w:pStyle w:val="ListParagraph"/>
        <w:ind w:left="1494" w:firstLine="153"/>
        <w:jc w:val="both"/>
        <w:rPr>
          <w:rFonts w:ascii="Book Antiqua" w:hAnsi="Book Antiqua"/>
          <w:sz w:val="24"/>
          <w:szCs w:val="24"/>
        </w:rPr>
      </w:pPr>
      <w:r w:rsidRPr="00502163">
        <w:rPr>
          <w:rFonts w:ascii="Book Antiqua" w:hAnsi="Book Antiqua"/>
          <w:sz w:val="24"/>
          <w:szCs w:val="24"/>
        </w:rPr>
        <w:t>g = Expected dividend growth rate</w:t>
      </w:r>
    </w:p>
    <w:p w14:paraId="188D67E5" w14:textId="27F721AA" w:rsidR="00C96B33" w:rsidRPr="000C6E2C" w:rsidRDefault="00536E5B" w:rsidP="000C6E2C">
      <w:pPr>
        <w:pStyle w:val="ListParagraph"/>
        <w:numPr>
          <w:ilvl w:val="0"/>
          <w:numId w:val="11"/>
        </w:numPr>
        <w:jc w:val="both"/>
        <w:rPr>
          <w:rFonts w:ascii="Book Antiqua" w:hAnsi="Book Antiqua"/>
          <w:sz w:val="24"/>
        </w:rPr>
      </w:pPr>
      <w:r w:rsidRPr="000C6E2C">
        <w:rPr>
          <w:rFonts w:ascii="Book Antiqua" w:hAnsi="Book Antiqua"/>
          <w:sz w:val="24"/>
          <w:szCs w:val="24"/>
        </w:rPr>
        <w:t xml:space="preserve">Calculating the estimated DPS </w:t>
      </w:r>
    </w:p>
    <w:p w14:paraId="771089D1" w14:textId="4887B090" w:rsidR="00536E5B" w:rsidRPr="00C96B33" w:rsidRDefault="00536E5B" w:rsidP="000C6E2C">
      <w:pPr>
        <w:pStyle w:val="ListParagraph"/>
        <w:ind w:left="1494" w:firstLine="153"/>
        <w:jc w:val="both"/>
        <w:rPr>
          <w:rFonts w:ascii="Book Antiqua" w:hAnsi="Book Antiqua"/>
          <w:sz w:val="24"/>
        </w:rPr>
      </w:pPr>
      <w:r w:rsidRPr="00C96B33">
        <w:rPr>
          <w:rFonts w:ascii="Book Antiqua" w:hAnsi="Book Antiqua"/>
          <w:sz w:val="24"/>
          <w:szCs w:val="24"/>
        </w:rPr>
        <w:t>D1  = D0 (1 + g )</w:t>
      </w:r>
    </w:p>
    <w:p w14:paraId="0A1C9FFB" w14:textId="77777777" w:rsid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Description:</w:t>
      </w:r>
    </w:p>
    <w:p w14:paraId="0062FA2B" w14:textId="77777777" w:rsid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D1 = DPS Estimate</w:t>
      </w:r>
    </w:p>
    <w:p w14:paraId="4B239F2D" w14:textId="77777777" w:rsid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D0 = DPS previous year</w:t>
      </w:r>
    </w:p>
    <w:p w14:paraId="7897C099" w14:textId="77777777" w:rsid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g = Expected dividend growth rate</w:t>
      </w:r>
    </w:p>
    <w:p w14:paraId="30EA18B1" w14:textId="55B96974" w:rsidR="00536E5B" w:rsidRPr="000C6E2C" w:rsidRDefault="00536E5B" w:rsidP="000C6E2C">
      <w:pPr>
        <w:pStyle w:val="ListParagraph"/>
        <w:numPr>
          <w:ilvl w:val="0"/>
          <w:numId w:val="11"/>
        </w:numPr>
        <w:jc w:val="both"/>
        <w:rPr>
          <w:rFonts w:ascii="Book Antiqua" w:hAnsi="Book Antiqua"/>
          <w:sz w:val="24"/>
          <w:szCs w:val="24"/>
        </w:rPr>
      </w:pPr>
      <w:r w:rsidRPr="000C6E2C">
        <w:rPr>
          <w:rFonts w:ascii="Book Antiqua" w:hAnsi="Book Antiqua"/>
          <w:sz w:val="24"/>
          <w:szCs w:val="24"/>
        </w:rPr>
        <w:t>Calculating the estimated expected rate of return</w:t>
      </w:r>
    </w:p>
    <w:p w14:paraId="49B41FD9" w14:textId="05AF4054" w:rsidR="00C96B33" w:rsidRPr="00C96B33" w:rsidRDefault="00536E5B" w:rsidP="000C6E2C">
      <w:pPr>
        <w:ind w:left="927" w:firstLine="720"/>
        <w:jc w:val="both"/>
        <w:rPr>
          <w:rFonts w:ascii="Book Antiqua" w:hAnsi="Book Antiqua"/>
          <w:sz w:val="24"/>
          <w:szCs w:val="24"/>
        </w:rPr>
      </w:pPr>
      <w:r w:rsidRPr="00C96B33">
        <w:rPr>
          <w:rFonts w:ascii="Cambria Math" w:hAnsi="Cambria Math" w:cs="Cambria Math"/>
          <w:sz w:val="24"/>
          <w:szCs w:val="24"/>
        </w:rPr>
        <w:t>𝐾</w:t>
      </w:r>
      <w:r w:rsidRPr="00C96B33">
        <w:rPr>
          <w:rFonts w:ascii="Book Antiqua" w:hAnsi="Book Antiqua"/>
          <w:sz w:val="24"/>
          <w:szCs w:val="24"/>
        </w:rPr>
        <w:t xml:space="preserve">  = (</w:t>
      </w:r>
      <w:r w:rsidRPr="00C96B33">
        <w:rPr>
          <w:rFonts w:ascii="Cambria Math" w:hAnsi="Cambria Math" w:cs="Cambria Math"/>
          <w:sz w:val="24"/>
          <w:szCs w:val="24"/>
        </w:rPr>
        <w:t>𝐷</w:t>
      </w:r>
      <w:r w:rsidRPr="00C96B33">
        <w:rPr>
          <w:rFonts w:ascii="Book Antiqua" w:hAnsi="Book Antiqua"/>
          <w:sz w:val="24"/>
          <w:szCs w:val="24"/>
        </w:rPr>
        <w:t>1/</w:t>
      </w:r>
      <w:r w:rsidRPr="00C96B33">
        <w:rPr>
          <w:rFonts w:ascii="Cambria Math" w:hAnsi="Cambria Math" w:cs="Cambria Math"/>
          <w:sz w:val="24"/>
          <w:szCs w:val="24"/>
        </w:rPr>
        <w:t>𝑃</w:t>
      </w:r>
      <w:r w:rsidRPr="00C96B33">
        <w:rPr>
          <w:rFonts w:ascii="Book Antiqua" w:hAnsi="Book Antiqua"/>
          <w:sz w:val="24"/>
          <w:szCs w:val="24"/>
        </w:rPr>
        <w:t>0) +</w:t>
      </w:r>
      <w:r w:rsidRPr="00C96B33">
        <w:rPr>
          <w:rFonts w:ascii="Cambria Math" w:hAnsi="Cambria Math" w:cs="Cambria Math"/>
          <w:sz w:val="24"/>
          <w:szCs w:val="24"/>
        </w:rPr>
        <w:t>𝑔</w:t>
      </w:r>
    </w:p>
    <w:p w14:paraId="2FE63A73" w14:textId="77777777" w:rsidR="00C96B33" w:rsidRP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Description:</w:t>
      </w:r>
    </w:p>
    <w:p w14:paraId="640A5E5C" w14:textId="77777777" w:rsidR="00C96B33" w:rsidRP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k = Expected return</w:t>
      </w:r>
    </w:p>
    <w:p w14:paraId="1EFA53B0" w14:textId="77777777" w:rsidR="00C96B33" w:rsidRP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D1 = Estimated DPS</w:t>
      </w:r>
    </w:p>
    <w:p w14:paraId="184CCF6B" w14:textId="77777777" w:rsidR="00C96B33" w:rsidRP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P0 = Previous period stock price</w:t>
      </w:r>
    </w:p>
    <w:p w14:paraId="56EE5044" w14:textId="77777777" w:rsidR="00C96B33" w:rsidRP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g = Expected dividend growth rate</w:t>
      </w:r>
    </w:p>
    <w:p w14:paraId="1D20F99E" w14:textId="3FC83FF8" w:rsidR="00536E5B" w:rsidRPr="000C6E2C" w:rsidRDefault="00536E5B" w:rsidP="000C6E2C">
      <w:pPr>
        <w:pStyle w:val="ListParagraph"/>
        <w:numPr>
          <w:ilvl w:val="0"/>
          <w:numId w:val="11"/>
        </w:numPr>
        <w:jc w:val="both"/>
        <w:rPr>
          <w:rFonts w:ascii="Book Antiqua" w:hAnsi="Book Antiqua"/>
          <w:sz w:val="24"/>
          <w:szCs w:val="24"/>
        </w:rPr>
      </w:pPr>
      <w:r w:rsidRPr="000C6E2C">
        <w:rPr>
          <w:rFonts w:ascii="Book Antiqua" w:hAnsi="Book Antiqua"/>
          <w:sz w:val="24"/>
          <w:szCs w:val="24"/>
        </w:rPr>
        <w:t xml:space="preserve">Calculating price to earnings ratio (PER) </w:t>
      </w:r>
    </w:p>
    <w:p w14:paraId="1514D26E" w14:textId="299394A1" w:rsidR="00536E5B" w:rsidRP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P</w:t>
      </w:r>
      <w:r w:rsidRPr="00C96B33">
        <w:rPr>
          <w:rFonts w:ascii="Cambria Math" w:hAnsi="Cambria Math" w:cs="Cambria Math"/>
          <w:sz w:val="24"/>
          <w:szCs w:val="24"/>
        </w:rPr>
        <w:t>𝐸𝑅</w:t>
      </w:r>
      <w:r w:rsidRPr="00C96B33">
        <w:rPr>
          <w:rFonts w:ascii="Book Antiqua" w:hAnsi="Book Antiqua"/>
          <w:sz w:val="24"/>
          <w:szCs w:val="24"/>
        </w:rPr>
        <w:t xml:space="preserve">  =  (</w:t>
      </w:r>
      <w:r w:rsidRPr="00C96B33">
        <w:rPr>
          <w:rFonts w:ascii="Cambria Math" w:hAnsi="Cambria Math" w:cs="Cambria Math"/>
          <w:sz w:val="24"/>
          <w:szCs w:val="24"/>
        </w:rPr>
        <w:t>𝐷</w:t>
      </w:r>
      <w:r w:rsidRPr="00C96B33">
        <w:rPr>
          <w:rFonts w:ascii="Book Antiqua" w:hAnsi="Book Antiqua"/>
          <w:sz w:val="24"/>
          <w:szCs w:val="24"/>
        </w:rPr>
        <w:t>1/</w:t>
      </w:r>
      <w:r w:rsidRPr="00C96B33">
        <w:rPr>
          <w:rFonts w:ascii="Cambria Math" w:hAnsi="Cambria Math" w:cs="Cambria Math"/>
          <w:sz w:val="24"/>
          <w:szCs w:val="24"/>
        </w:rPr>
        <w:t>𝐸</w:t>
      </w:r>
      <w:r w:rsidRPr="00C96B33">
        <w:rPr>
          <w:rFonts w:ascii="Book Antiqua" w:hAnsi="Book Antiqua"/>
          <w:sz w:val="24"/>
          <w:szCs w:val="24"/>
        </w:rPr>
        <w:t>1) / (</w:t>
      </w:r>
      <w:r w:rsidRPr="00C96B33">
        <w:rPr>
          <w:rFonts w:ascii="Cambria Math" w:hAnsi="Cambria Math" w:cs="Cambria Math"/>
          <w:sz w:val="24"/>
          <w:szCs w:val="24"/>
        </w:rPr>
        <w:t>𝐾</w:t>
      </w:r>
      <w:r w:rsidRPr="00C96B33">
        <w:rPr>
          <w:rFonts w:ascii="Book Antiqua" w:hAnsi="Book Antiqua"/>
          <w:sz w:val="24"/>
          <w:szCs w:val="24"/>
        </w:rPr>
        <w:t>−</w:t>
      </w:r>
      <w:r w:rsidRPr="00C96B33">
        <w:rPr>
          <w:rFonts w:ascii="Cambria Math" w:hAnsi="Cambria Math" w:cs="Cambria Math"/>
          <w:sz w:val="24"/>
          <w:szCs w:val="24"/>
        </w:rPr>
        <w:t>𝑔</w:t>
      </w:r>
      <w:r w:rsidRPr="00C96B33">
        <w:rPr>
          <w:rFonts w:ascii="Book Antiqua" w:hAnsi="Book Antiqua"/>
          <w:sz w:val="24"/>
          <w:szCs w:val="24"/>
        </w:rPr>
        <w:t>)</w:t>
      </w:r>
    </w:p>
    <w:p w14:paraId="668FD2C7" w14:textId="5137C5C9" w:rsidR="00536E5B" w:rsidRP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Description:</w:t>
      </w:r>
    </w:p>
    <w:p w14:paraId="465DE8B4" w14:textId="77777777" w:rsid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D1 = Estimated DPS</w:t>
      </w:r>
    </w:p>
    <w:p w14:paraId="6A966FAE" w14:textId="57FE004A" w:rsidR="00536E5B" w:rsidRP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E1 = Estimated EPS</w:t>
      </w:r>
    </w:p>
    <w:p w14:paraId="28476404" w14:textId="77777777" w:rsidR="00536E5B" w:rsidRPr="00536E5B" w:rsidRDefault="00536E5B" w:rsidP="00536E5B">
      <w:pPr>
        <w:jc w:val="both"/>
        <w:rPr>
          <w:rFonts w:ascii="Book Antiqua" w:hAnsi="Book Antiqua"/>
          <w:b/>
          <w:bCs/>
          <w:sz w:val="24"/>
          <w:szCs w:val="24"/>
        </w:rPr>
      </w:pPr>
    </w:p>
    <w:p w14:paraId="3790172D" w14:textId="77777777" w:rsidR="00C96B33" w:rsidRDefault="00536E5B" w:rsidP="000C6E2C">
      <w:pPr>
        <w:ind w:left="927" w:firstLine="720"/>
        <w:jc w:val="both"/>
        <w:rPr>
          <w:rFonts w:ascii="Book Antiqua" w:hAnsi="Book Antiqua"/>
          <w:sz w:val="24"/>
          <w:szCs w:val="24"/>
        </w:rPr>
      </w:pPr>
      <w:r w:rsidRPr="00C96B33">
        <w:rPr>
          <w:rFonts w:ascii="Book Antiqua" w:hAnsi="Book Antiqua"/>
          <w:sz w:val="24"/>
          <w:szCs w:val="24"/>
        </w:rPr>
        <w:lastRenderedPageBreak/>
        <w:t>k = Expected return</w:t>
      </w:r>
    </w:p>
    <w:p w14:paraId="3A74F52A" w14:textId="77777777" w:rsidR="00C96B33" w:rsidRDefault="00536E5B" w:rsidP="000C6E2C">
      <w:pPr>
        <w:ind w:left="927" w:firstLine="720"/>
        <w:jc w:val="both"/>
        <w:rPr>
          <w:rFonts w:ascii="Book Antiqua" w:hAnsi="Book Antiqua"/>
          <w:sz w:val="24"/>
          <w:szCs w:val="24"/>
        </w:rPr>
      </w:pPr>
      <w:r w:rsidRPr="00C96B33">
        <w:rPr>
          <w:rFonts w:ascii="Book Antiqua" w:hAnsi="Book Antiqua"/>
          <w:sz w:val="24"/>
          <w:szCs w:val="24"/>
        </w:rPr>
        <w:t>g = Expected dividend growth rate</w:t>
      </w:r>
    </w:p>
    <w:p w14:paraId="612B8C35" w14:textId="6FEE0C5C" w:rsidR="00C96B33" w:rsidRDefault="00536E5B" w:rsidP="000C6E2C">
      <w:pPr>
        <w:pStyle w:val="ListParagraph"/>
        <w:numPr>
          <w:ilvl w:val="0"/>
          <w:numId w:val="11"/>
        </w:numPr>
        <w:jc w:val="both"/>
        <w:rPr>
          <w:rFonts w:ascii="Book Antiqua" w:hAnsi="Book Antiqua"/>
          <w:sz w:val="24"/>
          <w:szCs w:val="24"/>
        </w:rPr>
      </w:pPr>
      <w:r w:rsidRPr="00C96B33">
        <w:rPr>
          <w:rFonts w:ascii="Book Antiqua" w:hAnsi="Book Antiqua"/>
          <w:sz w:val="24"/>
          <w:szCs w:val="24"/>
        </w:rPr>
        <w:t>Calculating the intrinsic value of stocks</w:t>
      </w:r>
    </w:p>
    <w:p w14:paraId="09056ADC" w14:textId="77777777" w:rsidR="00C96B33" w:rsidRDefault="00536E5B" w:rsidP="000C6E2C">
      <w:pPr>
        <w:pStyle w:val="ListParagraph"/>
        <w:ind w:left="1494" w:firstLine="153"/>
        <w:jc w:val="both"/>
        <w:rPr>
          <w:rFonts w:ascii="Book Antiqua" w:hAnsi="Book Antiqua"/>
          <w:sz w:val="24"/>
          <w:szCs w:val="24"/>
        </w:rPr>
      </w:pPr>
      <w:r w:rsidRPr="00C96B33">
        <w:rPr>
          <w:rFonts w:ascii="Book Antiqua" w:hAnsi="Book Antiqua"/>
          <w:sz w:val="24"/>
          <w:szCs w:val="24"/>
        </w:rPr>
        <w:t>Intrinsic Value = Estimated EPS X PER</w:t>
      </w:r>
    </w:p>
    <w:p w14:paraId="56024DB7" w14:textId="77777777" w:rsidR="000C6E2C" w:rsidRDefault="00536E5B" w:rsidP="000C6E2C">
      <w:pPr>
        <w:pStyle w:val="ListParagraph"/>
        <w:ind w:left="1494" w:firstLine="153"/>
        <w:jc w:val="both"/>
        <w:rPr>
          <w:rFonts w:ascii="Book Antiqua" w:hAnsi="Book Antiqua"/>
          <w:sz w:val="24"/>
          <w:szCs w:val="24"/>
        </w:rPr>
      </w:pPr>
      <w:r w:rsidRPr="00C96B33">
        <w:rPr>
          <w:rFonts w:ascii="Book Antiqua" w:hAnsi="Book Antiqua"/>
          <w:sz w:val="24"/>
          <w:szCs w:val="24"/>
        </w:rPr>
        <w:t>E1 X PER</w:t>
      </w:r>
    </w:p>
    <w:p w14:paraId="6C481E68" w14:textId="40CA2C71" w:rsidR="00536E5B" w:rsidRPr="000C6E2C" w:rsidRDefault="00536E5B" w:rsidP="000C6E2C">
      <w:pPr>
        <w:pStyle w:val="ListParagraph"/>
        <w:numPr>
          <w:ilvl w:val="0"/>
          <w:numId w:val="11"/>
        </w:numPr>
        <w:jc w:val="both"/>
        <w:rPr>
          <w:rFonts w:ascii="Book Antiqua" w:hAnsi="Book Antiqua"/>
          <w:sz w:val="24"/>
          <w:szCs w:val="24"/>
        </w:rPr>
      </w:pPr>
      <w:r w:rsidRPr="000C6E2C">
        <w:rPr>
          <w:rFonts w:ascii="Book Antiqua" w:hAnsi="Book Antiqua"/>
          <w:sz w:val="24"/>
          <w:szCs w:val="24"/>
        </w:rPr>
        <w:t xml:space="preserve">Then, assess the fairness of the stock price with the following procedure: </w:t>
      </w:r>
    </w:p>
    <w:p w14:paraId="3BE60499" w14:textId="77777777" w:rsidR="00B86FC6" w:rsidRDefault="00B86FC6" w:rsidP="00536E5B">
      <w:pPr>
        <w:jc w:val="both"/>
        <w:rPr>
          <w:rFonts w:ascii="Book Antiqua" w:hAnsi="Book Antiqua"/>
          <w:sz w:val="24"/>
          <w:szCs w:val="24"/>
        </w:rPr>
      </w:pPr>
    </w:p>
    <w:p w14:paraId="1C30888C" w14:textId="77777777" w:rsidR="00B86FC6" w:rsidRDefault="00536E5B" w:rsidP="00B86FC6">
      <w:pPr>
        <w:jc w:val="center"/>
        <w:rPr>
          <w:rFonts w:ascii="Book Antiqua" w:hAnsi="Book Antiqua"/>
          <w:sz w:val="20"/>
          <w:szCs w:val="20"/>
        </w:rPr>
      </w:pPr>
      <w:r w:rsidRPr="00B86FC6">
        <w:rPr>
          <w:rFonts w:ascii="Book Antiqua" w:hAnsi="Book Antiqua"/>
          <w:b/>
          <w:bCs/>
          <w:sz w:val="20"/>
          <w:szCs w:val="20"/>
        </w:rPr>
        <w:t xml:space="preserve">Table </w:t>
      </w:r>
      <w:r w:rsidR="00B86FC6" w:rsidRPr="00B86FC6">
        <w:rPr>
          <w:rFonts w:ascii="Book Antiqua" w:hAnsi="Book Antiqua"/>
          <w:b/>
          <w:bCs/>
          <w:sz w:val="20"/>
          <w:szCs w:val="20"/>
        </w:rPr>
        <w:t>1.</w:t>
      </w:r>
      <w:r w:rsidRPr="00B86FC6">
        <w:rPr>
          <w:rFonts w:ascii="Book Antiqua" w:hAnsi="Book Antiqua"/>
          <w:sz w:val="20"/>
          <w:szCs w:val="20"/>
        </w:rPr>
        <w:t xml:space="preserve"> Procedure for Assessing the Fairness of Stock Prices</w:t>
      </w:r>
    </w:p>
    <w:p w14:paraId="46CE30C5" w14:textId="364BFCDD" w:rsidR="00991B23" w:rsidRPr="00B86FC6" w:rsidRDefault="00536E5B" w:rsidP="00B86FC6">
      <w:pPr>
        <w:jc w:val="center"/>
        <w:rPr>
          <w:rFonts w:ascii="Book Antiqua" w:hAnsi="Book Antiqua"/>
          <w:sz w:val="20"/>
          <w:szCs w:val="20"/>
        </w:rPr>
      </w:pPr>
      <w:r w:rsidRPr="00B86FC6">
        <w:rPr>
          <w:rFonts w:ascii="Book Antiqua" w:hAnsi="Book Antiqua"/>
          <w:sz w:val="20"/>
          <w:szCs w:val="20"/>
        </w:rPr>
        <w:t>with the Price to Earning Ratio (PER)</w:t>
      </w:r>
    </w:p>
    <w:tbl>
      <w:tblPr>
        <w:tblW w:w="7627" w:type="dxa"/>
        <w:jc w:val="center"/>
        <w:tblLook w:val="04A0" w:firstRow="1" w:lastRow="0" w:firstColumn="1" w:lastColumn="0" w:noHBand="0" w:noVBand="1"/>
      </w:tblPr>
      <w:tblGrid>
        <w:gridCol w:w="3539"/>
        <w:gridCol w:w="4088"/>
      </w:tblGrid>
      <w:tr w:rsidR="00B86FC6" w:rsidRPr="00B86FC6" w14:paraId="54F4CAA0" w14:textId="77777777" w:rsidTr="00B86FC6">
        <w:trPr>
          <w:trHeight w:val="289"/>
          <w:jc w:val="center"/>
        </w:trPr>
        <w:tc>
          <w:tcPr>
            <w:tcW w:w="3539" w:type="dxa"/>
            <w:tcBorders>
              <w:top w:val="single" w:sz="4" w:space="0" w:color="auto"/>
              <w:bottom w:val="single" w:sz="4" w:space="0" w:color="auto"/>
            </w:tcBorders>
            <w:shd w:val="clear" w:color="auto" w:fill="auto"/>
            <w:vAlign w:val="center"/>
            <w:hideMark/>
          </w:tcPr>
          <w:p w14:paraId="58537B21" w14:textId="77777777" w:rsidR="00B86FC6" w:rsidRPr="00B86FC6" w:rsidRDefault="00B86FC6" w:rsidP="00D5176C">
            <w:pPr>
              <w:jc w:val="center"/>
              <w:rPr>
                <w:rFonts w:ascii="Book Antiqua" w:hAnsi="Book Antiqua" w:cs="Calibri"/>
                <w:b/>
                <w:bCs/>
                <w:color w:val="000000"/>
                <w:sz w:val="21"/>
                <w:szCs w:val="21"/>
                <w:lang w:val="en-ID" w:eastAsia="en-ID"/>
              </w:rPr>
            </w:pPr>
            <w:r w:rsidRPr="00B86FC6">
              <w:rPr>
                <w:rFonts w:ascii="Book Antiqua" w:hAnsi="Book Antiqua" w:cs="Calibri"/>
                <w:b/>
                <w:bCs/>
                <w:color w:val="000000"/>
                <w:sz w:val="21"/>
                <w:szCs w:val="21"/>
                <w:lang w:val="en-ID" w:eastAsia="en-ID"/>
              </w:rPr>
              <w:t>Comparative Results</w:t>
            </w:r>
          </w:p>
        </w:tc>
        <w:tc>
          <w:tcPr>
            <w:tcW w:w="4088" w:type="dxa"/>
            <w:tcBorders>
              <w:top w:val="single" w:sz="4" w:space="0" w:color="auto"/>
              <w:bottom w:val="single" w:sz="4" w:space="0" w:color="auto"/>
            </w:tcBorders>
            <w:shd w:val="clear" w:color="auto" w:fill="auto"/>
            <w:vAlign w:val="center"/>
            <w:hideMark/>
          </w:tcPr>
          <w:p w14:paraId="15A779B5" w14:textId="77777777" w:rsidR="00B86FC6" w:rsidRPr="00B86FC6" w:rsidRDefault="00B86FC6" w:rsidP="00D5176C">
            <w:pPr>
              <w:jc w:val="center"/>
              <w:rPr>
                <w:rFonts w:ascii="Book Antiqua" w:hAnsi="Book Antiqua" w:cs="Calibri"/>
                <w:b/>
                <w:bCs/>
                <w:color w:val="000000"/>
                <w:sz w:val="21"/>
                <w:szCs w:val="21"/>
                <w:lang w:val="en-ID" w:eastAsia="en-ID"/>
              </w:rPr>
            </w:pPr>
            <w:r w:rsidRPr="00B86FC6">
              <w:rPr>
                <w:rFonts w:ascii="Book Antiqua" w:hAnsi="Book Antiqua" w:cs="Calibri"/>
                <w:b/>
                <w:bCs/>
                <w:color w:val="000000"/>
                <w:sz w:val="21"/>
                <w:szCs w:val="21"/>
                <w:lang w:val="en-ID" w:eastAsia="en-ID"/>
              </w:rPr>
              <w:t>Stock Price Conditions</w:t>
            </w:r>
          </w:p>
        </w:tc>
      </w:tr>
      <w:tr w:rsidR="00B86FC6" w:rsidRPr="00B86FC6" w14:paraId="718E433D" w14:textId="77777777" w:rsidTr="00B86FC6">
        <w:trPr>
          <w:trHeight w:val="116"/>
          <w:jc w:val="center"/>
        </w:trPr>
        <w:tc>
          <w:tcPr>
            <w:tcW w:w="3539" w:type="dxa"/>
            <w:tcBorders>
              <w:top w:val="single" w:sz="4" w:space="0" w:color="auto"/>
            </w:tcBorders>
            <w:shd w:val="clear" w:color="auto" w:fill="auto"/>
            <w:vAlign w:val="center"/>
            <w:hideMark/>
          </w:tcPr>
          <w:p w14:paraId="4E0E4CF7" w14:textId="77777777" w:rsidR="00B86FC6" w:rsidRPr="00B86FC6" w:rsidRDefault="00B86FC6" w:rsidP="00D5176C">
            <w:pPr>
              <w:jc w:val="center"/>
              <w:rPr>
                <w:rFonts w:ascii="Book Antiqua" w:hAnsi="Book Antiqua" w:cs="Calibri"/>
                <w:color w:val="000000"/>
                <w:sz w:val="21"/>
                <w:szCs w:val="21"/>
                <w:lang w:val="en-ID" w:eastAsia="en-ID"/>
              </w:rPr>
            </w:pPr>
            <w:r w:rsidRPr="00B86FC6">
              <w:rPr>
                <w:rFonts w:ascii="Book Antiqua" w:hAnsi="Book Antiqua" w:cs="Calibri"/>
                <w:color w:val="000000"/>
                <w:sz w:val="21"/>
                <w:szCs w:val="21"/>
                <w:lang w:val="en-ID" w:eastAsia="en-ID"/>
              </w:rPr>
              <w:t>Intrinsic value &gt; market price</w:t>
            </w:r>
          </w:p>
        </w:tc>
        <w:tc>
          <w:tcPr>
            <w:tcW w:w="4088" w:type="dxa"/>
            <w:tcBorders>
              <w:top w:val="single" w:sz="4" w:space="0" w:color="auto"/>
            </w:tcBorders>
            <w:shd w:val="clear" w:color="auto" w:fill="auto"/>
            <w:vAlign w:val="center"/>
            <w:hideMark/>
          </w:tcPr>
          <w:p w14:paraId="15AB8EB4" w14:textId="77777777" w:rsidR="00B86FC6" w:rsidRPr="00B86FC6" w:rsidRDefault="00B86FC6" w:rsidP="00D5176C">
            <w:pPr>
              <w:jc w:val="center"/>
              <w:rPr>
                <w:rFonts w:ascii="Book Antiqua" w:hAnsi="Book Antiqua" w:cs="Calibri"/>
                <w:color w:val="000000"/>
                <w:sz w:val="21"/>
                <w:szCs w:val="21"/>
                <w:lang w:val="en-ID" w:eastAsia="en-ID"/>
              </w:rPr>
            </w:pPr>
            <w:r w:rsidRPr="00B86FC6">
              <w:rPr>
                <w:rFonts w:ascii="Book Antiqua" w:hAnsi="Book Antiqua" w:cs="Calibri"/>
                <w:color w:val="000000"/>
                <w:sz w:val="21"/>
                <w:szCs w:val="21"/>
                <w:lang w:val="en-ID" w:eastAsia="en-ID"/>
              </w:rPr>
              <w:t>Stock price is too cheap (undervalued)</w:t>
            </w:r>
          </w:p>
        </w:tc>
      </w:tr>
      <w:tr w:rsidR="00B86FC6" w:rsidRPr="00B86FC6" w14:paraId="47AC6AE5" w14:textId="77777777" w:rsidTr="00B86FC6">
        <w:trPr>
          <w:trHeight w:val="68"/>
          <w:jc w:val="center"/>
        </w:trPr>
        <w:tc>
          <w:tcPr>
            <w:tcW w:w="3539" w:type="dxa"/>
            <w:shd w:val="clear" w:color="auto" w:fill="auto"/>
            <w:vAlign w:val="center"/>
            <w:hideMark/>
          </w:tcPr>
          <w:p w14:paraId="79B66FAC" w14:textId="77777777" w:rsidR="00B86FC6" w:rsidRPr="00B86FC6" w:rsidRDefault="00B86FC6" w:rsidP="00D5176C">
            <w:pPr>
              <w:jc w:val="center"/>
              <w:rPr>
                <w:rFonts w:ascii="Book Antiqua" w:hAnsi="Book Antiqua" w:cs="Calibri"/>
                <w:color w:val="000000"/>
                <w:sz w:val="21"/>
                <w:szCs w:val="21"/>
                <w:lang w:val="en-ID" w:eastAsia="en-ID"/>
              </w:rPr>
            </w:pPr>
            <w:r w:rsidRPr="00B86FC6">
              <w:rPr>
                <w:rFonts w:ascii="Book Antiqua" w:hAnsi="Book Antiqua" w:cs="Calibri"/>
                <w:color w:val="000000"/>
                <w:sz w:val="21"/>
                <w:szCs w:val="21"/>
                <w:lang w:val="en-ID" w:eastAsia="en-ID"/>
              </w:rPr>
              <w:t>Intrinsic value &lt; market price</w:t>
            </w:r>
          </w:p>
        </w:tc>
        <w:tc>
          <w:tcPr>
            <w:tcW w:w="4088" w:type="dxa"/>
            <w:shd w:val="clear" w:color="auto" w:fill="auto"/>
            <w:vAlign w:val="center"/>
            <w:hideMark/>
          </w:tcPr>
          <w:p w14:paraId="66E704B4" w14:textId="77777777" w:rsidR="00B86FC6" w:rsidRPr="00B86FC6" w:rsidRDefault="00B86FC6" w:rsidP="00D5176C">
            <w:pPr>
              <w:jc w:val="center"/>
              <w:rPr>
                <w:rFonts w:ascii="Book Antiqua" w:hAnsi="Book Antiqua" w:cs="Calibri"/>
                <w:color w:val="000000"/>
                <w:sz w:val="21"/>
                <w:szCs w:val="21"/>
                <w:lang w:val="en-ID" w:eastAsia="en-ID"/>
              </w:rPr>
            </w:pPr>
            <w:r w:rsidRPr="00B86FC6">
              <w:rPr>
                <w:rFonts w:ascii="Book Antiqua" w:hAnsi="Book Antiqua" w:cs="Calibri"/>
                <w:color w:val="000000"/>
                <w:sz w:val="21"/>
                <w:szCs w:val="21"/>
                <w:lang w:val="en-ID" w:eastAsia="en-ID"/>
              </w:rPr>
              <w:t>Stock price is too expensive (overvalued)</w:t>
            </w:r>
          </w:p>
        </w:tc>
      </w:tr>
      <w:tr w:rsidR="00B86FC6" w:rsidRPr="00B86FC6" w14:paraId="5493A682" w14:textId="77777777" w:rsidTr="00B86FC6">
        <w:trPr>
          <w:trHeight w:val="54"/>
          <w:jc w:val="center"/>
        </w:trPr>
        <w:tc>
          <w:tcPr>
            <w:tcW w:w="3539" w:type="dxa"/>
            <w:tcBorders>
              <w:bottom w:val="single" w:sz="4" w:space="0" w:color="auto"/>
            </w:tcBorders>
            <w:shd w:val="clear" w:color="auto" w:fill="auto"/>
            <w:vAlign w:val="center"/>
            <w:hideMark/>
          </w:tcPr>
          <w:p w14:paraId="3C8DB68C" w14:textId="77777777" w:rsidR="00B86FC6" w:rsidRPr="00B86FC6" w:rsidRDefault="00B86FC6" w:rsidP="00D5176C">
            <w:pPr>
              <w:jc w:val="center"/>
              <w:rPr>
                <w:rFonts w:ascii="Book Antiqua" w:hAnsi="Book Antiqua" w:cs="Calibri"/>
                <w:color w:val="000000"/>
                <w:sz w:val="21"/>
                <w:szCs w:val="21"/>
                <w:lang w:val="en-ID" w:eastAsia="en-ID"/>
              </w:rPr>
            </w:pPr>
            <w:r w:rsidRPr="00B86FC6">
              <w:rPr>
                <w:rFonts w:ascii="Book Antiqua" w:hAnsi="Book Antiqua" w:cs="Calibri"/>
                <w:color w:val="000000"/>
                <w:sz w:val="21"/>
                <w:szCs w:val="21"/>
                <w:lang w:val="en-ID" w:eastAsia="en-ID"/>
              </w:rPr>
              <w:t>Intrinsic value = market price</w:t>
            </w:r>
          </w:p>
        </w:tc>
        <w:tc>
          <w:tcPr>
            <w:tcW w:w="4088" w:type="dxa"/>
            <w:tcBorders>
              <w:bottom w:val="single" w:sz="4" w:space="0" w:color="auto"/>
            </w:tcBorders>
            <w:shd w:val="clear" w:color="auto" w:fill="auto"/>
            <w:vAlign w:val="center"/>
            <w:hideMark/>
          </w:tcPr>
          <w:p w14:paraId="23A0ED28" w14:textId="77777777" w:rsidR="00B86FC6" w:rsidRPr="00B86FC6" w:rsidRDefault="00B86FC6" w:rsidP="00D5176C">
            <w:pPr>
              <w:jc w:val="center"/>
              <w:rPr>
                <w:rFonts w:ascii="Book Antiqua" w:hAnsi="Book Antiqua" w:cs="Calibri"/>
                <w:color w:val="000000"/>
                <w:sz w:val="21"/>
                <w:szCs w:val="21"/>
                <w:lang w:val="en-ID" w:eastAsia="en-ID"/>
              </w:rPr>
            </w:pPr>
            <w:r w:rsidRPr="00B86FC6">
              <w:rPr>
                <w:rFonts w:ascii="Book Antiqua" w:hAnsi="Book Antiqua" w:cs="Calibri"/>
                <w:color w:val="000000"/>
                <w:sz w:val="21"/>
                <w:szCs w:val="21"/>
                <w:lang w:val="en-ID" w:eastAsia="en-ID"/>
              </w:rPr>
              <w:t xml:space="preserve">Fair or normal stock price </w:t>
            </w:r>
          </w:p>
          <w:p w14:paraId="6FB6D844" w14:textId="77777777" w:rsidR="00B86FC6" w:rsidRPr="00B86FC6" w:rsidRDefault="00B86FC6" w:rsidP="00D5176C">
            <w:pPr>
              <w:jc w:val="center"/>
              <w:rPr>
                <w:rFonts w:ascii="Book Antiqua" w:hAnsi="Book Antiqua" w:cs="Calibri"/>
                <w:color w:val="000000"/>
                <w:sz w:val="21"/>
                <w:szCs w:val="21"/>
                <w:lang w:val="en-ID" w:eastAsia="en-ID"/>
              </w:rPr>
            </w:pPr>
            <w:r w:rsidRPr="00B86FC6">
              <w:rPr>
                <w:rFonts w:ascii="Book Antiqua" w:hAnsi="Book Antiqua" w:cs="Calibri"/>
                <w:color w:val="000000"/>
                <w:sz w:val="21"/>
                <w:szCs w:val="21"/>
                <w:lang w:val="en-ID" w:eastAsia="en-ID"/>
              </w:rPr>
              <w:t>(correctly valued)</w:t>
            </w:r>
          </w:p>
        </w:tc>
      </w:tr>
    </w:tbl>
    <w:p w14:paraId="1BF9C6FC" w14:textId="78DA2D3B" w:rsidR="00B86FC6" w:rsidRPr="001E4D32" w:rsidRDefault="001E4D32" w:rsidP="001E4D32">
      <w:pPr>
        <w:ind w:left="720" w:firstLine="720"/>
        <w:jc w:val="both"/>
        <w:rPr>
          <w:rFonts w:ascii="Book Antiqua" w:hAnsi="Book Antiqua"/>
          <w:sz w:val="21"/>
          <w:szCs w:val="21"/>
        </w:rPr>
      </w:pPr>
      <w:r w:rsidRPr="001E4D32">
        <w:rPr>
          <w:rFonts w:ascii="Book Antiqua" w:hAnsi="Book Antiqua"/>
          <w:sz w:val="21"/>
          <w:szCs w:val="21"/>
        </w:rPr>
        <w:t>Source: Nuzula &amp; Nurlaily (2020)</w:t>
      </w:r>
    </w:p>
    <w:p w14:paraId="29F9FC44" w14:textId="77777777" w:rsidR="001E4D32" w:rsidRDefault="001E4D32" w:rsidP="000C0D14">
      <w:pPr>
        <w:jc w:val="both"/>
        <w:rPr>
          <w:rFonts w:ascii="Book Antiqua" w:hAnsi="Book Antiqua"/>
          <w:b/>
          <w:bCs/>
          <w:sz w:val="24"/>
          <w:szCs w:val="24"/>
        </w:rPr>
      </w:pPr>
    </w:p>
    <w:p w14:paraId="71782A6C" w14:textId="625CE22E" w:rsidR="00307498" w:rsidRPr="00307498" w:rsidRDefault="00307498" w:rsidP="00307498">
      <w:pPr>
        <w:pStyle w:val="ListParagraph"/>
        <w:numPr>
          <w:ilvl w:val="0"/>
          <w:numId w:val="10"/>
        </w:numPr>
        <w:jc w:val="both"/>
        <w:rPr>
          <w:rFonts w:ascii="Book Antiqua" w:hAnsi="Book Antiqua"/>
          <w:sz w:val="24"/>
          <w:szCs w:val="24"/>
        </w:rPr>
      </w:pPr>
      <w:r w:rsidRPr="00307498">
        <w:rPr>
          <w:rFonts w:ascii="Book Antiqua" w:hAnsi="Book Antiqua"/>
          <w:sz w:val="24"/>
          <w:szCs w:val="24"/>
        </w:rPr>
        <w:t>Conduct stock valuation using relative valuation techniques with price to book value (PBV) with the following formula.</w:t>
      </w:r>
    </w:p>
    <w:p w14:paraId="2A005EA2" w14:textId="13C34195" w:rsidR="00307498" w:rsidRPr="00307498" w:rsidRDefault="00307498" w:rsidP="00307498">
      <w:pPr>
        <w:ind w:left="567" w:firstLine="720"/>
        <w:jc w:val="both"/>
        <w:rPr>
          <w:rFonts w:ascii="Book Antiqua" w:hAnsi="Book Antiqua"/>
          <w:sz w:val="24"/>
          <w:szCs w:val="24"/>
        </w:rPr>
      </w:pPr>
      <w:r w:rsidRPr="00307498">
        <w:rPr>
          <w:rFonts w:ascii="Book Antiqua" w:hAnsi="Book Antiqua"/>
          <w:sz w:val="24"/>
          <w:szCs w:val="24"/>
        </w:rPr>
        <w:t xml:space="preserve">PBV  </w:t>
      </w:r>
      <w:r>
        <w:rPr>
          <w:rFonts w:ascii="Book Antiqua" w:hAnsi="Book Antiqua"/>
          <w:sz w:val="24"/>
          <w:szCs w:val="24"/>
        </w:rPr>
        <w:tab/>
      </w:r>
      <w:r w:rsidRPr="00307498">
        <w:rPr>
          <w:rFonts w:ascii="Book Antiqua" w:hAnsi="Book Antiqua"/>
          <w:sz w:val="24"/>
          <w:szCs w:val="24"/>
        </w:rPr>
        <w:t>= Stock Price / Book Value of Stock</w:t>
      </w:r>
    </w:p>
    <w:p w14:paraId="0DC778ED" w14:textId="77777777" w:rsidR="00307498" w:rsidRDefault="00307498" w:rsidP="00307498">
      <w:pPr>
        <w:ind w:left="1440" w:firstLine="720"/>
        <w:jc w:val="both"/>
        <w:rPr>
          <w:rFonts w:ascii="Book Antiqua" w:hAnsi="Book Antiqua"/>
          <w:sz w:val="24"/>
          <w:szCs w:val="24"/>
        </w:rPr>
      </w:pPr>
      <w:r w:rsidRPr="00307498">
        <w:rPr>
          <w:rFonts w:ascii="Book Antiqua" w:hAnsi="Book Antiqua"/>
          <w:sz w:val="24"/>
          <w:szCs w:val="24"/>
        </w:rPr>
        <w:t>= Stock Price / (Equity Value / Number of Shares Outstanding)</w:t>
      </w:r>
    </w:p>
    <w:p w14:paraId="2D119DDC" w14:textId="0A4475D8" w:rsidR="001E4D32" w:rsidRDefault="00307498" w:rsidP="00307498">
      <w:pPr>
        <w:ind w:left="1276"/>
        <w:jc w:val="both"/>
        <w:rPr>
          <w:rFonts w:ascii="Book Antiqua" w:hAnsi="Book Antiqua"/>
          <w:sz w:val="24"/>
          <w:szCs w:val="24"/>
        </w:rPr>
      </w:pPr>
      <w:r w:rsidRPr="00307498">
        <w:rPr>
          <w:rFonts w:ascii="Book Antiqua" w:hAnsi="Book Antiqua"/>
          <w:sz w:val="24"/>
          <w:szCs w:val="24"/>
        </w:rPr>
        <w:t>Then, Assess the fairness of the stock price with the following procedure:</w:t>
      </w:r>
    </w:p>
    <w:p w14:paraId="5F5DE745" w14:textId="77777777" w:rsidR="00307498" w:rsidRDefault="00307498" w:rsidP="00307498">
      <w:pPr>
        <w:ind w:left="1276"/>
        <w:jc w:val="both"/>
        <w:rPr>
          <w:rFonts w:ascii="Book Antiqua" w:hAnsi="Book Antiqua"/>
          <w:sz w:val="24"/>
          <w:szCs w:val="24"/>
        </w:rPr>
      </w:pPr>
    </w:p>
    <w:p w14:paraId="78963482" w14:textId="77777777" w:rsidR="00C02C83" w:rsidRPr="00C02C83" w:rsidRDefault="00C02C83" w:rsidP="00C02C83">
      <w:pPr>
        <w:jc w:val="center"/>
        <w:rPr>
          <w:rFonts w:ascii="Book Antiqua" w:hAnsi="Book Antiqua"/>
          <w:sz w:val="20"/>
          <w:szCs w:val="20"/>
        </w:rPr>
      </w:pPr>
      <w:r w:rsidRPr="00C02C83">
        <w:rPr>
          <w:rFonts w:ascii="Book Antiqua" w:hAnsi="Book Antiqua"/>
          <w:b/>
          <w:bCs/>
          <w:sz w:val="20"/>
          <w:szCs w:val="20"/>
        </w:rPr>
        <w:t>Table 2.</w:t>
      </w:r>
      <w:r w:rsidRPr="00C02C83">
        <w:rPr>
          <w:rFonts w:ascii="Book Antiqua" w:hAnsi="Book Antiqua"/>
          <w:sz w:val="20"/>
          <w:szCs w:val="20"/>
        </w:rPr>
        <w:t xml:space="preserve"> Procedure for Assessing the Fairness of Stock Prices</w:t>
      </w:r>
    </w:p>
    <w:p w14:paraId="672F5566" w14:textId="2A46C8E8" w:rsidR="00C02C83" w:rsidRPr="00C02C83" w:rsidRDefault="00C02C83" w:rsidP="00C02C83">
      <w:pPr>
        <w:jc w:val="center"/>
        <w:rPr>
          <w:rFonts w:ascii="Book Antiqua" w:hAnsi="Book Antiqua"/>
          <w:sz w:val="20"/>
          <w:szCs w:val="20"/>
        </w:rPr>
      </w:pPr>
      <w:r w:rsidRPr="00C02C83">
        <w:rPr>
          <w:rFonts w:ascii="Book Antiqua" w:hAnsi="Book Antiqua"/>
          <w:sz w:val="20"/>
          <w:szCs w:val="20"/>
        </w:rPr>
        <w:t>with Price to Book Value (PBV)</w:t>
      </w:r>
    </w:p>
    <w:tbl>
      <w:tblPr>
        <w:tblW w:w="7627" w:type="dxa"/>
        <w:jc w:val="center"/>
        <w:tblLook w:val="04A0" w:firstRow="1" w:lastRow="0" w:firstColumn="1" w:lastColumn="0" w:noHBand="0" w:noVBand="1"/>
      </w:tblPr>
      <w:tblGrid>
        <w:gridCol w:w="3539"/>
        <w:gridCol w:w="4088"/>
      </w:tblGrid>
      <w:tr w:rsidR="00C02C83" w:rsidRPr="00C02C83" w14:paraId="124EF531" w14:textId="77777777" w:rsidTr="00B62F1A">
        <w:trPr>
          <w:trHeight w:val="289"/>
          <w:jc w:val="center"/>
        </w:trPr>
        <w:tc>
          <w:tcPr>
            <w:tcW w:w="3539" w:type="dxa"/>
            <w:tcBorders>
              <w:top w:val="single" w:sz="4" w:space="0" w:color="auto"/>
              <w:bottom w:val="single" w:sz="4" w:space="0" w:color="auto"/>
            </w:tcBorders>
            <w:shd w:val="clear" w:color="auto" w:fill="auto"/>
            <w:vAlign w:val="center"/>
            <w:hideMark/>
          </w:tcPr>
          <w:p w14:paraId="1DEC1B0D" w14:textId="77777777" w:rsidR="00C02C83" w:rsidRPr="00C02C83" w:rsidRDefault="00C02C83" w:rsidP="00B62F1A">
            <w:pPr>
              <w:jc w:val="center"/>
              <w:rPr>
                <w:rFonts w:ascii="Book Antiqua" w:hAnsi="Book Antiqua"/>
                <w:b/>
                <w:bCs/>
                <w:lang w:val="en-ID"/>
              </w:rPr>
            </w:pPr>
            <w:r w:rsidRPr="00C02C83">
              <w:rPr>
                <w:rFonts w:ascii="Book Antiqua" w:hAnsi="Book Antiqua"/>
                <w:b/>
                <w:bCs/>
                <w:lang w:val="en-ID"/>
              </w:rPr>
              <w:t>Comparative Results</w:t>
            </w:r>
          </w:p>
        </w:tc>
        <w:tc>
          <w:tcPr>
            <w:tcW w:w="4088" w:type="dxa"/>
            <w:tcBorders>
              <w:top w:val="single" w:sz="4" w:space="0" w:color="auto"/>
              <w:bottom w:val="single" w:sz="4" w:space="0" w:color="auto"/>
            </w:tcBorders>
            <w:shd w:val="clear" w:color="auto" w:fill="auto"/>
            <w:vAlign w:val="center"/>
            <w:hideMark/>
          </w:tcPr>
          <w:p w14:paraId="05D688E9" w14:textId="77777777" w:rsidR="00C02C83" w:rsidRPr="00C02C83" w:rsidRDefault="00C02C83" w:rsidP="00B62F1A">
            <w:pPr>
              <w:jc w:val="center"/>
              <w:rPr>
                <w:rFonts w:ascii="Book Antiqua" w:hAnsi="Book Antiqua"/>
                <w:b/>
                <w:bCs/>
                <w:lang w:val="en-ID"/>
              </w:rPr>
            </w:pPr>
            <w:r w:rsidRPr="00C02C83">
              <w:rPr>
                <w:rFonts w:ascii="Book Antiqua" w:hAnsi="Book Antiqua"/>
                <w:b/>
                <w:bCs/>
                <w:lang w:val="en-ID"/>
              </w:rPr>
              <w:t>Stock Price Conditions</w:t>
            </w:r>
          </w:p>
        </w:tc>
      </w:tr>
      <w:tr w:rsidR="00C02C83" w:rsidRPr="00C02C83" w14:paraId="04AEC476" w14:textId="77777777" w:rsidTr="00B62F1A">
        <w:trPr>
          <w:trHeight w:val="372"/>
          <w:jc w:val="center"/>
        </w:trPr>
        <w:tc>
          <w:tcPr>
            <w:tcW w:w="3539" w:type="dxa"/>
            <w:tcBorders>
              <w:top w:val="single" w:sz="4" w:space="0" w:color="auto"/>
            </w:tcBorders>
            <w:shd w:val="clear" w:color="auto" w:fill="auto"/>
            <w:vAlign w:val="center"/>
            <w:hideMark/>
          </w:tcPr>
          <w:p w14:paraId="7A210228" w14:textId="77777777" w:rsidR="00C02C83" w:rsidRPr="00C02C83" w:rsidRDefault="00C02C83" w:rsidP="00B62F1A">
            <w:pPr>
              <w:jc w:val="center"/>
              <w:rPr>
                <w:rFonts w:ascii="Book Antiqua" w:hAnsi="Book Antiqua"/>
                <w:lang w:val="en-ID"/>
              </w:rPr>
            </w:pPr>
            <w:r w:rsidRPr="00C02C83">
              <w:rPr>
                <w:rFonts w:ascii="Book Antiqua" w:hAnsi="Book Antiqua"/>
                <w:lang w:val="en-ID"/>
              </w:rPr>
              <w:t>PBV value above 1</w:t>
            </w:r>
          </w:p>
        </w:tc>
        <w:tc>
          <w:tcPr>
            <w:tcW w:w="4088" w:type="dxa"/>
            <w:tcBorders>
              <w:top w:val="single" w:sz="4" w:space="0" w:color="auto"/>
            </w:tcBorders>
            <w:shd w:val="clear" w:color="auto" w:fill="auto"/>
            <w:vAlign w:val="center"/>
            <w:hideMark/>
          </w:tcPr>
          <w:p w14:paraId="5F5CC2EC" w14:textId="77777777" w:rsidR="00C02C83" w:rsidRPr="00C02C83" w:rsidRDefault="00C02C83" w:rsidP="00B62F1A">
            <w:pPr>
              <w:jc w:val="center"/>
              <w:rPr>
                <w:rFonts w:ascii="Book Antiqua" w:hAnsi="Book Antiqua"/>
                <w:lang w:val="en-ID"/>
              </w:rPr>
            </w:pPr>
            <w:r w:rsidRPr="00C02C83">
              <w:rPr>
                <w:rFonts w:ascii="Book Antiqua" w:hAnsi="Book Antiqua"/>
                <w:lang w:val="en-ID"/>
              </w:rPr>
              <w:t>The stock market value is greater than its book value (overvalued)</w:t>
            </w:r>
          </w:p>
        </w:tc>
      </w:tr>
      <w:tr w:rsidR="00C02C83" w:rsidRPr="00C02C83" w14:paraId="67997E91" w14:textId="77777777" w:rsidTr="00B62F1A">
        <w:trPr>
          <w:trHeight w:val="64"/>
          <w:jc w:val="center"/>
        </w:trPr>
        <w:tc>
          <w:tcPr>
            <w:tcW w:w="3539" w:type="dxa"/>
            <w:tcBorders>
              <w:bottom w:val="single" w:sz="4" w:space="0" w:color="auto"/>
            </w:tcBorders>
            <w:shd w:val="clear" w:color="auto" w:fill="auto"/>
            <w:vAlign w:val="center"/>
            <w:hideMark/>
          </w:tcPr>
          <w:p w14:paraId="3FB3857C" w14:textId="77777777" w:rsidR="00C02C83" w:rsidRPr="00C02C83" w:rsidRDefault="00C02C83" w:rsidP="00B62F1A">
            <w:pPr>
              <w:jc w:val="center"/>
              <w:rPr>
                <w:rFonts w:ascii="Book Antiqua" w:hAnsi="Book Antiqua"/>
                <w:lang w:val="en-ID"/>
              </w:rPr>
            </w:pPr>
            <w:r w:rsidRPr="00C02C83">
              <w:rPr>
                <w:rFonts w:ascii="Book Antiqua" w:hAnsi="Book Antiqua"/>
                <w:lang w:val="en-ID"/>
              </w:rPr>
              <w:t>PBV value below 1</w:t>
            </w:r>
          </w:p>
        </w:tc>
        <w:tc>
          <w:tcPr>
            <w:tcW w:w="4088" w:type="dxa"/>
            <w:tcBorders>
              <w:bottom w:val="single" w:sz="4" w:space="0" w:color="auto"/>
            </w:tcBorders>
            <w:shd w:val="clear" w:color="auto" w:fill="auto"/>
            <w:vAlign w:val="center"/>
            <w:hideMark/>
          </w:tcPr>
          <w:p w14:paraId="6514BCBD" w14:textId="77777777" w:rsidR="00C02C83" w:rsidRPr="00C02C83" w:rsidRDefault="00C02C83" w:rsidP="00B62F1A">
            <w:pPr>
              <w:jc w:val="center"/>
              <w:rPr>
                <w:rFonts w:ascii="Book Antiqua" w:hAnsi="Book Antiqua"/>
                <w:lang w:val="en-ID"/>
              </w:rPr>
            </w:pPr>
            <w:r w:rsidRPr="00C02C83">
              <w:rPr>
                <w:rFonts w:ascii="Book Antiqua" w:hAnsi="Book Antiqua"/>
                <w:lang w:val="en-ID"/>
              </w:rPr>
              <w:t>The stock market value is less than its book value (undervalued)</w:t>
            </w:r>
          </w:p>
        </w:tc>
      </w:tr>
    </w:tbl>
    <w:p w14:paraId="06996DB3" w14:textId="77777777" w:rsidR="00C02C83" w:rsidRPr="00C02C83" w:rsidRDefault="00C02C83" w:rsidP="00F211A1">
      <w:pPr>
        <w:ind w:left="1276" w:firstLine="164"/>
        <w:jc w:val="both"/>
        <w:rPr>
          <w:rFonts w:ascii="Book Antiqua" w:hAnsi="Book Antiqua"/>
          <w:sz w:val="20"/>
          <w:szCs w:val="20"/>
          <w:lang w:val="en-ID"/>
        </w:rPr>
      </w:pPr>
      <w:r w:rsidRPr="00C02C83">
        <w:rPr>
          <w:rFonts w:ascii="Book Antiqua" w:hAnsi="Book Antiqua"/>
          <w:sz w:val="20"/>
          <w:szCs w:val="20"/>
        </w:rPr>
        <w:t xml:space="preserve">Source: </w:t>
      </w:r>
      <w:r w:rsidRPr="00C02C83">
        <w:rPr>
          <w:rFonts w:ascii="Book Antiqua" w:hAnsi="Book Antiqua"/>
          <w:sz w:val="20"/>
          <w:szCs w:val="20"/>
          <w:lang w:val="en-ID"/>
        </w:rPr>
        <w:t>Alhakim (2018)</w:t>
      </w:r>
    </w:p>
    <w:p w14:paraId="5C89BC7F" w14:textId="77777777" w:rsidR="00C02C83" w:rsidRPr="00307498" w:rsidRDefault="00C02C83" w:rsidP="00307498">
      <w:pPr>
        <w:ind w:left="1276"/>
        <w:jc w:val="both"/>
        <w:rPr>
          <w:rFonts w:ascii="Book Antiqua" w:hAnsi="Book Antiqua"/>
          <w:sz w:val="24"/>
          <w:szCs w:val="24"/>
        </w:rPr>
      </w:pPr>
    </w:p>
    <w:p w14:paraId="40A9712F" w14:textId="77777777" w:rsidR="00EC07CD" w:rsidRPr="00EC07CD" w:rsidRDefault="00EC07CD" w:rsidP="00EC07CD">
      <w:pPr>
        <w:spacing w:line="360" w:lineRule="auto"/>
        <w:rPr>
          <w:rFonts w:ascii="Book Antiqua" w:hAnsi="Book Antiqua"/>
        </w:rPr>
      </w:pPr>
      <w:r w:rsidRPr="00EC07CD">
        <w:rPr>
          <w:rFonts w:ascii="Book Antiqua" w:hAnsi="Book Antiqua"/>
        </w:rPr>
        <w:t>Make investment decisions based on stock price conditions with the following provisions:</w:t>
      </w:r>
    </w:p>
    <w:p w14:paraId="13F475F2" w14:textId="0D3ADB8E" w:rsidR="00EC07CD" w:rsidRPr="00EC07CD" w:rsidRDefault="00EC07CD" w:rsidP="00EC07CD">
      <w:pPr>
        <w:jc w:val="center"/>
        <w:rPr>
          <w:rFonts w:ascii="Book Antiqua" w:hAnsi="Book Antiqua"/>
          <w:sz w:val="20"/>
          <w:szCs w:val="20"/>
        </w:rPr>
      </w:pPr>
      <w:r w:rsidRPr="00EC07CD">
        <w:rPr>
          <w:rFonts w:ascii="Book Antiqua" w:hAnsi="Book Antiqua"/>
          <w:b/>
          <w:bCs/>
          <w:sz w:val="20"/>
          <w:szCs w:val="20"/>
        </w:rPr>
        <w:t>Table 3.</w:t>
      </w:r>
      <w:r w:rsidRPr="00EC07CD">
        <w:rPr>
          <w:rFonts w:ascii="Book Antiqua" w:hAnsi="Book Antiqua"/>
          <w:sz w:val="20"/>
          <w:szCs w:val="20"/>
        </w:rPr>
        <w:t xml:space="preserve"> Investment Decision Making Provisions</w:t>
      </w:r>
    </w:p>
    <w:tbl>
      <w:tblPr>
        <w:tblW w:w="7627" w:type="dxa"/>
        <w:jc w:val="center"/>
        <w:tblBorders>
          <w:top w:val="single" w:sz="4" w:space="0" w:color="auto"/>
          <w:bottom w:val="single" w:sz="4" w:space="0" w:color="auto"/>
        </w:tblBorders>
        <w:tblLook w:val="04A0" w:firstRow="1" w:lastRow="0" w:firstColumn="1" w:lastColumn="0" w:noHBand="0" w:noVBand="1"/>
      </w:tblPr>
      <w:tblGrid>
        <w:gridCol w:w="3539"/>
        <w:gridCol w:w="4088"/>
      </w:tblGrid>
      <w:tr w:rsidR="00EC07CD" w:rsidRPr="00EC07CD" w14:paraId="7FCD5F2A" w14:textId="77777777" w:rsidTr="00EC07CD">
        <w:trPr>
          <w:trHeight w:val="289"/>
          <w:jc w:val="center"/>
        </w:trPr>
        <w:tc>
          <w:tcPr>
            <w:tcW w:w="3539" w:type="dxa"/>
            <w:tcBorders>
              <w:top w:val="single" w:sz="4" w:space="0" w:color="auto"/>
              <w:bottom w:val="single" w:sz="4" w:space="0" w:color="auto"/>
            </w:tcBorders>
            <w:shd w:val="clear" w:color="auto" w:fill="auto"/>
            <w:vAlign w:val="center"/>
            <w:hideMark/>
          </w:tcPr>
          <w:p w14:paraId="245D8FD8" w14:textId="77777777" w:rsidR="00EC07CD" w:rsidRPr="00EC07CD" w:rsidRDefault="00EC07CD" w:rsidP="00F211A1">
            <w:pPr>
              <w:jc w:val="center"/>
              <w:rPr>
                <w:rFonts w:ascii="Book Antiqua" w:hAnsi="Book Antiqua" w:cs="Calibri"/>
                <w:b/>
                <w:bCs/>
                <w:color w:val="000000"/>
                <w:lang w:val="en-ID" w:eastAsia="en-ID"/>
              </w:rPr>
            </w:pPr>
            <w:r w:rsidRPr="00EC07CD">
              <w:rPr>
                <w:rFonts w:ascii="Book Antiqua" w:hAnsi="Book Antiqua" w:cs="Calibri"/>
                <w:b/>
                <w:bCs/>
                <w:color w:val="000000"/>
                <w:lang w:val="en-ID" w:eastAsia="en-ID"/>
              </w:rPr>
              <w:t>Stock price conditions</w:t>
            </w:r>
          </w:p>
        </w:tc>
        <w:tc>
          <w:tcPr>
            <w:tcW w:w="4088" w:type="dxa"/>
            <w:tcBorders>
              <w:top w:val="single" w:sz="4" w:space="0" w:color="auto"/>
              <w:bottom w:val="single" w:sz="4" w:space="0" w:color="auto"/>
            </w:tcBorders>
            <w:shd w:val="clear" w:color="auto" w:fill="auto"/>
            <w:vAlign w:val="center"/>
            <w:hideMark/>
          </w:tcPr>
          <w:p w14:paraId="34641D86" w14:textId="77777777" w:rsidR="00EC07CD" w:rsidRPr="00EC07CD" w:rsidRDefault="00EC07CD" w:rsidP="00F211A1">
            <w:pPr>
              <w:jc w:val="center"/>
              <w:rPr>
                <w:rFonts w:ascii="Book Antiqua" w:hAnsi="Book Antiqua" w:cs="Calibri"/>
                <w:b/>
                <w:bCs/>
                <w:color w:val="000000"/>
                <w:lang w:val="en-ID" w:eastAsia="en-ID"/>
              </w:rPr>
            </w:pPr>
            <w:r w:rsidRPr="00EC07CD">
              <w:rPr>
                <w:rFonts w:ascii="Book Antiqua" w:hAnsi="Book Antiqua" w:cs="Calibri"/>
                <w:b/>
                <w:bCs/>
                <w:color w:val="000000"/>
                <w:lang w:val="en-ID" w:eastAsia="en-ID"/>
              </w:rPr>
              <w:t>Investment decisions</w:t>
            </w:r>
          </w:p>
        </w:tc>
      </w:tr>
      <w:tr w:rsidR="00EC07CD" w:rsidRPr="00EC07CD" w14:paraId="6950872B" w14:textId="77777777" w:rsidTr="00F211A1">
        <w:trPr>
          <w:trHeight w:val="54"/>
          <w:jc w:val="center"/>
        </w:trPr>
        <w:tc>
          <w:tcPr>
            <w:tcW w:w="3539" w:type="dxa"/>
            <w:tcBorders>
              <w:top w:val="single" w:sz="4" w:space="0" w:color="auto"/>
            </w:tcBorders>
            <w:shd w:val="clear" w:color="auto" w:fill="auto"/>
            <w:vAlign w:val="center"/>
            <w:hideMark/>
          </w:tcPr>
          <w:p w14:paraId="04C8C506" w14:textId="77777777" w:rsidR="00EC07CD" w:rsidRPr="00EC07CD" w:rsidRDefault="00EC07CD" w:rsidP="00F211A1">
            <w:pPr>
              <w:jc w:val="center"/>
              <w:rPr>
                <w:rFonts w:ascii="Book Antiqua" w:hAnsi="Book Antiqua" w:cs="Calibri"/>
                <w:color w:val="000000"/>
                <w:lang w:val="en-ID" w:eastAsia="en-ID"/>
              </w:rPr>
            </w:pPr>
            <w:r w:rsidRPr="00EC07CD">
              <w:rPr>
                <w:rFonts w:ascii="Book Antiqua" w:hAnsi="Book Antiqua" w:cs="Calibri"/>
                <w:color w:val="000000"/>
                <w:lang w:val="en-ID" w:eastAsia="en-ID"/>
              </w:rPr>
              <w:t>Undervalued</w:t>
            </w:r>
          </w:p>
        </w:tc>
        <w:tc>
          <w:tcPr>
            <w:tcW w:w="4088" w:type="dxa"/>
            <w:tcBorders>
              <w:top w:val="single" w:sz="4" w:space="0" w:color="auto"/>
            </w:tcBorders>
            <w:shd w:val="clear" w:color="auto" w:fill="auto"/>
            <w:vAlign w:val="center"/>
            <w:hideMark/>
          </w:tcPr>
          <w:p w14:paraId="253B26E9" w14:textId="77777777" w:rsidR="00EC07CD" w:rsidRPr="00EC07CD" w:rsidRDefault="00EC07CD" w:rsidP="00F211A1">
            <w:pPr>
              <w:jc w:val="center"/>
              <w:rPr>
                <w:rFonts w:ascii="Book Antiqua" w:hAnsi="Book Antiqua" w:cs="Calibri"/>
                <w:color w:val="000000"/>
                <w:lang w:val="en-ID" w:eastAsia="en-ID"/>
              </w:rPr>
            </w:pPr>
            <w:r w:rsidRPr="00EC07CD">
              <w:rPr>
                <w:rFonts w:ascii="Book Antiqua" w:hAnsi="Book Antiqua" w:cs="Calibri"/>
                <w:color w:val="000000"/>
                <w:lang w:val="en-ID" w:eastAsia="en-ID"/>
              </w:rPr>
              <w:t>Buy Stocks</w:t>
            </w:r>
          </w:p>
        </w:tc>
      </w:tr>
      <w:tr w:rsidR="00EC07CD" w:rsidRPr="00EC07CD" w14:paraId="7161A967" w14:textId="77777777" w:rsidTr="00F211A1">
        <w:trPr>
          <w:trHeight w:val="64"/>
          <w:jc w:val="center"/>
        </w:trPr>
        <w:tc>
          <w:tcPr>
            <w:tcW w:w="3539" w:type="dxa"/>
            <w:shd w:val="clear" w:color="auto" w:fill="auto"/>
            <w:vAlign w:val="center"/>
            <w:hideMark/>
          </w:tcPr>
          <w:p w14:paraId="515E643F" w14:textId="77777777" w:rsidR="00EC07CD" w:rsidRPr="00EC07CD" w:rsidRDefault="00EC07CD" w:rsidP="00F211A1">
            <w:pPr>
              <w:jc w:val="center"/>
              <w:rPr>
                <w:rFonts w:ascii="Book Antiqua" w:hAnsi="Book Antiqua" w:cs="Calibri"/>
                <w:color w:val="000000"/>
                <w:lang w:val="en-ID" w:eastAsia="en-ID"/>
              </w:rPr>
            </w:pPr>
            <w:r w:rsidRPr="00EC07CD">
              <w:rPr>
                <w:rFonts w:ascii="Book Antiqua" w:hAnsi="Book Antiqua" w:cs="Calibri"/>
                <w:color w:val="000000"/>
                <w:lang w:val="en-ID" w:eastAsia="en-ID"/>
              </w:rPr>
              <w:t>Overvalued</w:t>
            </w:r>
          </w:p>
        </w:tc>
        <w:tc>
          <w:tcPr>
            <w:tcW w:w="4088" w:type="dxa"/>
            <w:shd w:val="clear" w:color="auto" w:fill="auto"/>
            <w:vAlign w:val="center"/>
            <w:hideMark/>
          </w:tcPr>
          <w:p w14:paraId="2D38A6BF" w14:textId="77777777" w:rsidR="00EC07CD" w:rsidRPr="00EC07CD" w:rsidRDefault="00EC07CD" w:rsidP="00F211A1">
            <w:pPr>
              <w:jc w:val="center"/>
              <w:rPr>
                <w:rFonts w:ascii="Book Antiqua" w:hAnsi="Book Antiqua" w:cs="Calibri"/>
                <w:color w:val="000000"/>
                <w:lang w:val="en-ID" w:eastAsia="en-ID"/>
              </w:rPr>
            </w:pPr>
            <w:r w:rsidRPr="00EC07CD">
              <w:rPr>
                <w:rFonts w:ascii="Book Antiqua" w:hAnsi="Book Antiqua" w:cs="Calibri"/>
                <w:color w:val="000000"/>
                <w:lang w:val="en-ID" w:eastAsia="en-ID"/>
              </w:rPr>
              <w:t>Sell Stocks</w:t>
            </w:r>
          </w:p>
        </w:tc>
      </w:tr>
      <w:tr w:rsidR="00EC07CD" w:rsidRPr="00EC07CD" w14:paraId="3CE4BF08" w14:textId="77777777" w:rsidTr="00EC07CD">
        <w:trPr>
          <w:trHeight w:val="64"/>
          <w:jc w:val="center"/>
        </w:trPr>
        <w:tc>
          <w:tcPr>
            <w:tcW w:w="3539" w:type="dxa"/>
            <w:shd w:val="clear" w:color="auto" w:fill="auto"/>
            <w:vAlign w:val="center"/>
            <w:hideMark/>
          </w:tcPr>
          <w:p w14:paraId="4AACC137" w14:textId="77777777" w:rsidR="00EC07CD" w:rsidRPr="00EC07CD" w:rsidRDefault="00EC07CD" w:rsidP="00F211A1">
            <w:pPr>
              <w:jc w:val="center"/>
              <w:rPr>
                <w:rFonts w:ascii="Book Antiqua" w:hAnsi="Book Antiqua" w:cs="Calibri"/>
                <w:color w:val="000000"/>
                <w:lang w:val="en-ID" w:eastAsia="en-ID"/>
              </w:rPr>
            </w:pPr>
            <w:r w:rsidRPr="00EC07CD">
              <w:rPr>
                <w:rFonts w:ascii="Book Antiqua" w:hAnsi="Book Antiqua" w:cs="Calibri"/>
                <w:color w:val="000000"/>
                <w:lang w:val="en-ID" w:eastAsia="en-ID"/>
              </w:rPr>
              <w:t>Correctly valued</w:t>
            </w:r>
          </w:p>
        </w:tc>
        <w:tc>
          <w:tcPr>
            <w:tcW w:w="4088" w:type="dxa"/>
            <w:shd w:val="clear" w:color="auto" w:fill="auto"/>
            <w:vAlign w:val="center"/>
            <w:hideMark/>
          </w:tcPr>
          <w:p w14:paraId="607D2AED" w14:textId="77777777" w:rsidR="00EC07CD" w:rsidRPr="00EC07CD" w:rsidRDefault="00EC07CD" w:rsidP="00F211A1">
            <w:pPr>
              <w:jc w:val="center"/>
              <w:rPr>
                <w:rFonts w:ascii="Book Antiqua" w:hAnsi="Book Antiqua" w:cs="Calibri"/>
                <w:color w:val="000000"/>
                <w:lang w:val="en-ID" w:eastAsia="en-ID"/>
              </w:rPr>
            </w:pPr>
            <w:r w:rsidRPr="00EC07CD">
              <w:rPr>
                <w:rFonts w:ascii="Book Antiqua" w:hAnsi="Book Antiqua" w:cs="Calibri"/>
                <w:color w:val="000000"/>
                <w:lang w:val="en-ID" w:eastAsia="en-ID"/>
              </w:rPr>
              <w:t>Hold Stocks</w:t>
            </w:r>
          </w:p>
        </w:tc>
      </w:tr>
    </w:tbl>
    <w:p w14:paraId="2E817631" w14:textId="21CEF98A" w:rsidR="00EC07CD" w:rsidRPr="00F211A1" w:rsidRDefault="00EC07CD" w:rsidP="00F211A1">
      <w:pPr>
        <w:spacing w:line="360" w:lineRule="auto"/>
        <w:ind w:left="720" w:firstLine="720"/>
        <w:jc w:val="both"/>
        <w:rPr>
          <w:rFonts w:ascii="Book Antiqua" w:hAnsi="Book Antiqua"/>
          <w:sz w:val="20"/>
          <w:szCs w:val="20"/>
        </w:rPr>
      </w:pPr>
      <w:r w:rsidRPr="00F211A1">
        <w:rPr>
          <w:rFonts w:ascii="Book Antiqua" w:hAnsi="Book Antiqua"/>
          <w:sz w:val="20"/>
          <w:szCs w:val="20"/>
        </w:rPr>
        <w:t>Soure: Nuzula &amp; Nurlaily (2020)</w:t>
      </w:r>
    </w:p>
    <w:p w14:paraId="6280BB82" w14:textId="77777777" w:rsidR="001E4D32" w:rsidRDefault="001E4D32" w:rsidP="000C0D14">
      <w:pPr>
        <w:jc w:val="both"/>
        <w:rPr>
          <w:rFonts w:ascii="Book Antiqua" w:hAnsi="Book Antiqua"/>
          <w:b/>
          <w:bCs/>
          <w:sz w:val="24"/>
          <w:szCs w:val="24"/>
        </w:rPr>
      </w:pPr>
    </w:p>
    <w:p w14:paraId="4863F28E" w14:textId="77777777" w:rsidR="00932CC4" w:rsidRDefault="00932CC4" w:rsidP="000C0D14">
      <w:pPr>
        <w:jc w:val="both"/>
        <w:rPr>
          <w:rFonts w:ascii="Book Antiqua" w:hAnsi="Book Antiqua"/>
          <w:b/>
          <w:bCs/>
          <w:sz w:val="24"/>
          <w:szCs w:val="24"/>
        </w:rPr>
      </w:pPr>
    </w:p>
    <w:p w14:paraId="383287C0" w14:textId="77777777" w:rsidR="00932CC4" w:rsidRDefault="00932CC4" w:rsidP="000C0D14">
      <w:pPr>
        <w:jc w:val="both"/>
        <w:rPr>
          <w:rFonts w:ascii="Book Antiqua" w:hAnsi="Book Antiqua"/>
          <w:b/>
          <w:bCs/>
          <w:sz w:val="24"/>
          <w:szCs w:val="24"/>
        </w:rPr>
      </w:pPr>
    </w:p>
    <w:p w14:paraId="4B1C8C95" w14:textId="77777777" w:rsidR="00932CC4" w:rsidRDefault="00932CC4" w:rsidP="000C0D14">
      <w:pPr>
        <w:jc w:val="both"/>
        <w:rPr>
          <w:rFonts w:ascii="Book Antiqua" w:hAnsi="Book Antiqua"/>
          <w:b/>
          <w:bCs/>
          <w:sz w:val="24"/>
          <w:szCs w:val="24"/>
        </w:rPr>
      </w:pPr>
    </w:p>
    <w:p w14:paraId="303F42D6" w14:textId="77777777" w:rsidR="00932CC4" w:rsidRDefault="00932CC4" w:rsidP="000C0D14">
      <w:pPr>
        <w:jc w:val="both"/>
        <w:rPr>
          <w:rFonts w:ascii="Book Antiqua" w:hAnsi="Book Antiqua"/>
          <w:b/>
          <w:bCs/>
          <w:sz w:val="24"/>
          <w:szCs w:val="24"/>
        </w:rPr>
      </w:pPr>
    </w:p>
    <w:p w14:paraId="770C2A32" w14:textId="77777777" w:rsidR="00932CC4" w:rsidRDefault="00932CC4" w:rsidP="000C0D14">
      <w:pPr>
        <w:jc w:val="both"/>
        <w:rPr>
          <w:rFonts w:ascii="Book Antiqua" w:hAnsi="Book Antiqua"/>
          <w:b/>
          <w:bCs/>
          <w:sz w:val="24"/>
          <w:szCs w:val="24"/>
        </w:rPr>
      </w:pPr>
    </w:p>
    <w:p w14:paraId="4665212C" w14:textId="77777777" w:rsidR="00932CC4" w:rsidRDefault="00932CC4" w:rsidP="000C0D14">
      <w:pPr>
        <w:jc w:val="both"/>
        <w:rPr>
          <w:rFonts w:ascii="Book Antiqua" w:hAnsi="Book Antiqua"/>
          <w:b/>
          <w:bCs/>
          <w:sz w:val="24"/>
          <w:szCs w:val="24"/>
        </w:rPr>
      </w:pPr>
    </w:p>
    <w:p w14:paraId="4B698311" w14:textId="30B65EDD" w:rsidR="000C0D14" w:rsidRDefault="000C0D14" w:rsidP="000C0D14">
      <w:pPr>
        <w:jc w:val="both"/>
        <w:rPr>
          <w:rFonts w:ascii="Book Antiqua" w:hAnsi="Book Antiqua"/>
          <w:b/>
          <w:bCs/>
          <w:sz w:val="24"/>
          <w:szCs w:val="24"/>
        </w:rPr>
      </w:pPr>
      <w:r w:rsidRPr="000C0D14">
        <w:rPr>
          <w:rFonts w:ascii="Book Antiqua" w:hAnsi="Book Antiqua"/>
          <w:b/>
          <w:bCs/>
          <w:sz w:val="24"/>
          <w:szCs w:val="24"/>
        </w:rPr>
        <w:lastRenderedPageBreak/>
        <w:t>DISCUSSION</w:t>
      </w:r>
    </w:p>
    <w:p w14:paraId="37A8B413" w14:textId="77777777" w:rsidR="00991B23" w:rsidRPr="003165E4" w:rsidRDefault="00991B23" w:rsidP="000C0D14">
      <w:pPr>
        <w:jc w:val="both"/>
        <w:rPr>
          <w:rFonts w:ascii="Book Antiqua" w:hAnsi="Book Antiqua"/>
          <w:b/>
          <w:bCs/>
          <w:i/>
          <w:iCs/>
          <w:sz w:val="24"/>
          <w:szCs w:val="24"/>
        </w:rPr>
      </w:pPr>
    </w:p>
    <w:p w14:paraId="7C4A271F" w14:textId="3897B726" w:rsidR="00991B23" w:rsidRDefault="003165E4" w:rsidP="003165E4">
      <w:pPr>
        <w:pStyle w:val="BodyText"/>
        <w:ind w:left="0" w:right="263"/>
        <w:rPr>
          <w:rFonts w:ascii="Book Antiqua" w:hAnsi="Book Antiqua"/>
          <w:i/>
          <w:iCs/>
        </w:rPr>
      </w:pPr>
      <w:r w:rsidRPr="003165E4">
        <w:rPr>
          <w:rFonts w:ascii="Book Antiqua" w:hAnsi="Book Antiqua"/>
          <w:i/>
          <w:iCs/>
        </w:rPr>
        <w:t>Description of the development of the company's financial condition</w:t>
      </w:r>
    </w:p>
    <w:p w14:paraId="2D3C86D5" w14:textId="77777777" w:rsidR="00932CC4" w:rsidRDefault="00932CC4" w:rsidP="00B25167">
      <w:pPr>
        <w:pStyle w:val="ListParagraph"/>
        <w:spacing w:line="360" w:lineRule="auto"/>
        <w:ind w:left="284"/>
        <w:jc w:val="center"/>
        <w:rPr>
          <w:rFonts w:ascii="Book Antiqua" w:hAnsi="Book Antiqua"/>
          <w:b/>
          <w:bCs/>
        </w:rPr>
      </w:pPr>
    </w:p>
    <w:p w14:paraId="5BB78AFD" w14:textId="103DC85E" w:rsidR="00B25167" w:rsidRPr="009D0A57" w:rsidRDefault="00B25167" w:rsidP="00B25167">
      <w:pPr>
        <w:pStyle w:val="ListParagraph"/>
        <w:spacing w:line="360" w:lineRule="auto"/>
        <w:ind w:left="284"/>
        <w:jc w:val="center"/>
        <w:rPr>
          <w:rFonts w:ascii="Book Antiqua" w:hAnsi="Book Antiqua"/>
          <w:sz w:val="20"/>
          <w:szCs w:val="20"/>
        </w:rPr>
      </w:pPr>
      <w:r w:rsidRPr="009D0A57">
        <w:rPr>
          <w:rFonts w:ascii="Book Antiqua" w:hAnsi="Book Antiqua"/>
          <w:b/>
          <w:bCs/>
          <w:sz w:val="20"/>
          <w:szCs w:val="20"/>
        </w:rPr>
        <w:t xml:space="preserve">Table 4. </w:t>
      </w:r>
      <w:r w:rsidRPr="009D0A57">
        <w:rPr>
          <w:rFonts w:ascii="Book Antiqua" w:hAnsi="Book Antiqua"/>
          <w:sz w:val="20"/>
          <w:szCs w:val="20"/>
        </w:rPr>
        <w:t>Development of Financial Condition of PT Aneka Tambang Tbk (Year 2018 – 2022)</w:t>
      </w:r>
    </w:p>
    <w:p w14:paraId="6E4D3F9A" w14:textId="7CC521F7" w:rsidR="00B376A1" w:rsidRDefault="00932CC4" w:rsidP="00932CC4">
      <w:pPr>
        <w:jc w:val="center"/>
        <w:rPr>
          <w:rFonts w:ascii="Book Antiqua" w:hAnsi="Book Antiqua"/>
          <w:b/>
          <w:bCs/>
          <w:sz w:val="24"/>
          <w:szCs w:val="24"/>
        </w:rPr>
      </w:pPr>
      <w:r>
        <w:rPr>
          <w:noProof/>
        </w:rPr>
        <w:drawing>
          <wp:inline distT="0" distB="0" distL="0" distR="0" wp14:anchorId="31B50A9A" wp14:editId="39B54994">
            <wp:extent cx="3934691" cy="3357243"/>
            <wp:effectExtent l="0" t="0" r="2540" b="0"/>
            <wp:docPr id="1488546221" name="Picture 2" descr="A table with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46221" name="Picture 2" descr="A table with numbers and numbe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4106" cy="3390873"/>
                    </a:xfrm>
                    <a:prstGeom prst="rect">
                      <a:avLst/>
                    </a:prstGeom>
                    <a:noFill/>
                    <a:ln>
                      <a:noFill/>
                    </a:ln>
                  </pic:spPr>
                </pic:pic>
              </a:graphicData>
            </a:graphic>
          </wp:inline>
        </w:drawing>
      </w:r>
    </w:p>
    <w:p w14:paraId="43F48108" w14:textId="77777777" w:rsidR="00CA4ADB" w:rsidRDefault="00CA4ADB" w:rsidP="00CA4ADB">
      <w:pPr>
        <w:jc w:val="center"/>
        <w:rPr>
          <w:rFonts w:ascii="Book Antiqua" w:hAnsi="Book Antiqua"/>
          <w:sz w:val="20"/>
          <w:szCs w:val="20"/>
        </w:rPr>
      </w:pPr>
      <w:r w:rsidRPr="00CA4ADB">
        <w:rPr>
          <w:rFonts w:ascii="Book Antiqua" w:hAnsi="Book Antiqua"/>
          <w:sz w:val="20"/>
          <w:szCs w:val="20"/>
        </w:rPr>
        <w:t xml:space="preserve">*Dividends for Fiscal Year 2022 will be decided at the Annual General Meeting of Shareholders </w:t>
      </w:r>
    </w:p>
    <w:p w14:paraId="36B1221D" w14:textId="123630A2" w:rsidR="00CA4ADB" w:rsidRPr="00CA4ADB" w:rsidRDefault="00CA4ADB" w:rsidP="00CA4ADB">
      <w:pPr>
        <w:jc w:val="center"/>
        <w:rPr>
          <w:rFonts w:ascii="Book Antiqua" w:hAnsi="Book Antiqua"/>
          <w:sz w:val="20"/>
          <w:szCs w:val="20"/>
        </w:rPr>
      </w:pPr>
      <w:r w:rsidRPr="00CA4ADB">
        <w:rPr>
          <w:rFonts w:ascii="Book Antiqua" w:hAnsi="Book Antiqua"/>
          <w:sz w:val="20"/>
          <w:szCs w:val="20"/>
        </w:rPr>
        <w:t>for Fiscal Year 2022</w:t>
      </w:r>
    </w:p>
    <w:p w14:paraId="0CCDB87A" w14:textId="44769477" w:rsidR="00932CC4" w:rsidRPr="00CA4ADB" w:rsidRDefault="00CA4ADB" w:rsidP="00CA4ADB">
      <w:pPr>
        <w:jc w:val="center"/>
        <w:rPr>
          <w:rFonts w:ascii="Book Antiqua" w:hAnsi="Book Antiqua"/>
          <w:sz w:val="20"/>
          <w:szCs w:val="20"/>
        </w:rPr>
      </w:pPr>
      <w:r w:rsidRPr="00CA4ADB">
        <w:rPr>
          <w:rFonts w:ascii="Book Antiqua" w:hAnsi="Book Antiqua"/>
          <w:sz w:val="20"/>
          <w:szCs w:val="20"/>
        </w:rPr>
        <w:t>Source: Data processed by researchers from https://antam.com/en/reports/annual-reports (2023)</w:t>
      </w:r>
    </w:p>
    <w:p w14:paraId="178631EE" w14:textId="77777777" w:rsidR="00CA4ADB" w:rsidRDefault="00CA4ADB" w:rsidP="00991B23">
      <w:pPr>
        <w:pStyle w:val="BodyText"/>
        <w:ind w:left="0" w:right="255"/>
        <w:rPr>
          <w:rFonts w:ascii="Book Antiqua" w:hAnsi="Book Antiqua"/>
          <w:b/>
          <w:szCs w:val="22"/>
          <w:lang w:val="id-ID"/>
        </w:rPr>
      </w:pPr>
    </w:p>
    <w:p w14:paraId="6B8252C0" w14:textId="1C9828DE" w:rsidR="002369F5" w:rsidRPr="002369F5" w:rsidRDefault="002369F5" w:rsidP="002369F5">
      <w:pPr>
        <w:pStyle w:val="BodyText"/>
        <w:ind w:right="255"/>
        <w:rPr>
          <w:rFonts w:ascii="Book Antiqua" w:hAnsi="Book Antiqua"/>
          <w:bCs/>
          <w:szCs w:val="22"/>
          <w:lang w:val="id-ID"/>
        </w:rPr>
      </w:pPr>
      <w:r w:rsidRPr="002369F5">
        <w:rPr>
          <w:rFonts w:ascii="Book Antiqua" w:hAnsi="Book Antiqua"/>
          <w:bCs/>
          <w:szCs w:val="22"/>
          <w:lang w:val="id-ID"/>
        </w:rPr>
        <w:t>The table above shows that</w:t>
      </w:r>
      <w:r>
        <w:rPr>
          <w:rFonts w:ascii="Book Antiqua" w:hAnsi="Book Antiqua"/>
          <w:bCs/>
          <w:szCs w:val="22"/>
          <w:lang w:val="id-ID"/>
        </w:rPr>
        <w:t>:</w:t>
      </w:r>
    </w:p>
    <w:p w14:paraId="1AF91D8A" w14:textId="61EEE822" w:rsidR="002369F5" w:rsidRDefault="002369F5" w:rsidP="002369F5">
      <w:pPr>
        <w:pStyle w:val="BodyText"/>
        <w:numPr>
          <w:ilvl w:val="0"/>
          <w:numId w:val="13"/>
        </w:numPr>
        <w:ind w:right="255"/>
        <w:rPr>
          <w:rFonts w:ascii="Book Antiqua" w:hAnsi="Book Antiqua"/>
          <w:bCs/>
          <w:szCs w:val="22"/>
          <w:lang w:val="id-ID"/>
        </w:rPr>
      </w:pPr>
      <w:r w:rsidRPr="002369F5">
        <w:rPr>
          <w:rFonts w:ascii="Book Antiqua" w:hAnsi="Book Antiqua"/>
          <w:bCs/>
          <w:szCs w:val="22"/>
          <w:lang w:val="id-ID"/>
        </w:rPr>
        <w:t>TATO PT Aneka Tambang Tbk tends to increase every year. The increasing TATO value indicates that the company's asset management is getting better and more efficient.</w:t>
      </w:r>
    </w:p>
    <w:p w14:paraId="1E73FF36" w14:textId="77777777" w:rsidR="002369F5" w:rsidRDefault="002369F5" w:rsidP="002369F5">
      <w:pPr>
        <w:pStyle w:val="BodyText"/>
        <w:numPr>
          <w:ilvl w:val="0"/>
          <w:numId w:val="13"/>
        </w:numPr>
        <w:ind w:right="255"/>
        <w:rPr>
          <w:rFonts w:ascii="Book Antiqua" w:hAnsi="Book Antiqua"/>
          <w:bCs/>
          <w:szCs w:val="22"/>
          <w:lang w:val="id-ID"/>
        </w:rPr>
      </w:pPr>
      <w:r w:rsidRPr="002369F5">
        <w:rPr>
          <w:rFonts w:ascii="Book Antiqua" w:hAnsi="Book Antiqua"/>
          <w:bCs/>
          <w:szCs w:val="22"/>
          <w:lang w:val="id-ID"/>
        </w:rPr>
        <w:t>A company's CR value above 100% indicates that the company's liquidity risk is in good condition, meaning that the company is able to cover all of its current liabilities with its current assets.</w:t>
      </w:r>
    </w:p>
    <w:p w14:paraId="05CDD4C4" w14:textId="77777777" w:rsidR="002369F5" w:rsidRDefault="002369F5" w:rsidP="002369F5">
      <w:pPr>
        <w:pStyle w:val="BodyText"/>
        <w:numPr>
          <w:ilvl w:val="0"/>
          <w:numId w:val="13"/>
        </w:numPr>
        <w:ind w:right="255"/>
        <w:rPr>
          <w:rFonts w:ascii="Book Antiqua" w:hAnsi="Book Antiqua"/>
          <w:bCs/>
          <w:szCs w:val="22"/>
          <w:lang w:val="id-ID"/>
        </w:rPr>
      </w:pPr>
      <w:r w:rsidRPr="002369F5">
        <w:rPr>
          <w:rFonts w:ascii="Book Antiqua" w:hAnsi="Book Antiqua"/>
          <w:bCs/>
          <w:szCs w:val="22"/>
          <w:lang w:val="id-ID"/>
        </w:rPr>
        <w:t>PT Aneka Tambang Tbk has the highest DER in 2018 of 0.74516 x. Where the company's DER value tends to decrease every year. Which indicates that the company is able to meet all obligations with the equity value it has.</w:t>
      </w:r>
    </w:p>
    <w:p w14:paraId="762A8DB4" w14:textId="77777777" w:rsidR="002369F5" w:rsidRDefault="002369F5" w:rsidP="002369F5">
      <w:pPr>
        <w:pStyle w:val="BodyText"/>
        <w:numPr>
          <w:ilvl w:val="0"/>
          <w:numId w:val="13"/>
        </w:numPr>
        <w:ind w:right="255"/>
        <w:rPr>
          <w:rFonts w:ascii="Book Antiqua" w:hAnsi="Book Antiqua"/>
          <w:bCs/>
          <w:szCs w:val="22"/>
          <w:lang w:val="id-ID"/>
        </w:rPr>
      </w:pPr>
      <w:r w:rsidRPr="002369F5">
        <w:rPr>
          <w:rFonts w:ascii="Book Antiqua" w:hAnsi="Book Antiqua"/>
          <w:bCs/>
          <w:szCs w:val="22"/>
          <w:lang w:val="id-ID"/>
        </w:rPr>
        <w:t>ROE of PT Aneka Tambang Tbk had decreased in 2019. However, ROE continued to increase from 2020 to 2022. This indicates that the company's capital management is increasingly efficient and the company is able to achieve greater after-tax profit growth compared to capital growth.</w:t>
      </w:r>
    </w:p>
    <w:p w14:paraId="487A9BFB" w14:textId="012150EF" w:rsidR="002369F5" w:rsidRDefault="002369F5" w:rsidP="002369F5">
      <w:pPr>
        <w:pStyle w:val="BodyText"/>
        <w:numPr>
          <w:ilvl w:val="0"/>
          <w:numId w:val="13"/>
        </w:numPr>
        <w:ind w:right="255"/>
        <w:rPr>
          <w:rFonts w:ascii="Book Antiqua" w:hAnsi="Book Antiqua"/>
          <w:bCs/>
          <w:szCs w:val="22"/>
          <w:lang w:val="id-ID"/>
        </w:rPr>
      </w:pPr>
      <w:r w:rsidRPr="002369F5">
        <w:rPr>
          <w:rFonts w:ascii="Book Antiqua" w:hAnsi="Book Antiqua"/>
          <w:bCs/>
          <w:szCs w:val="22"/>
          <w:lang w:val="id-ID"/>
        </w:rPr>
        <w:t xml:space="preserve">When viewed from the company's net profit growth in 2018-2022, the movement of the company's EPS value for 5 years tends to increase. Only in 2019, the company's </w:t>
      </w:r>
      <w:r w:rsidRPr="002369F5">
        <w:rPr>
          <w:rFonts w:ascii="Book Antiqua" w:hAnsi="Book Antiqua"/>
          <w:bCs/>
          <w:szCs w:val="22"/>
          <w:lang w:val="id-ID"/>
        </w:rPr>
        <w:lastRenderedPageBreak/>
        <w:t>net profit decreased.</w:t>
      </w:r>
    </w:p>
    <w:p w14:paraId="640C4BEE" w14:textId="77777777" w:rsidR="00D33D88" w:rsidRPr="00D33D88" w:rsidRDefault="00D33D88" w:rsidP="00D33D88">
      <w:pPr>
        <w:pStyle w:val="ListParagraph"/>
        <w:ind w:firstLine="567"/>
        <w:jc w:val="both"/>
        <w:rPr>
          <w:rFonts w:ascii="Book Antiqua" w:hAnsi="Book Antiqua"/>
          <w:sz w:val="24"/>
          <w:szCs w:val="24"/>
        </w:rPr>
      </w:pPr>
      <w:r w:rsidRPr="00D33D88">
        <w:rPr>
          <w:rFonts w:ascii="Book Antiqua" w:hAnsi="Book Antiqua"/>
          <w:w w:val="102"/>
          <w:sz w:val="24"/>
          <w:szCs w:val="24"/>
        </w:rPr>
        <w:t>In the distribution of dividends received by investors from the company's profits, the highest DPR owned by the company is 50% for the 2021 financial year. Given the increasing profit growth, it is hoped that the DPR for the 2022 financial year will be greater than the previous year.</w:t>
      </w:r>
    </w:p>
    <w:p w14:paraId="4AFE7B7E" w14:textId="77777777" w:rsidR="002369F5" w:rsidRDefault="002369F5" w:rsidP="002B3428">
      <w:pPr>
        <w:pStyle w:val="BodyText"/>
        <w:ind w:left="0" w:right="255"/>
        <w:rPr>
          <w:rFonts w:ascii="Book Antiqua" w:hAnsi="Book Antiqua"/>
          <w:bCs/>
          <w:szCs w:val="22"/>
          <w:lang w:val="id-ID"/>
        </w:rPr>
      </w:pPr>
    </w:p>
    <w:p w14:paraId="626A49AD" w14:textId="77777777" w:rsidR="002B3428" w:rsidRDefault="002B3428" w:rsidP="002B3428">
      <w:pPr>
        <w:pStyle w:val="BodyText"/>
        <w:ind w:left="0" w:right="255"/>
        <w:rPr>
          <w:rFonts w:ascii="Book Antiqua" w:hAnsi="Book Antiqua"/>
          <w:bCs/>
          <w:i/>
          <w:iCs/>
        </w:rPr>
      </w:pPr>
      <w:r w:rsidRPr="002B3428">
        <w:rPr>
          <w:rFonts w:ascii="Book Antiqua" w:hAnsi="Book Antiqua"/>
          <w:bCs/>
          <w:i/>
          <w:iCs/>
        </w:rPr>
        <w:t>Assessment of the fairness of share prices</w:t>
      </w:r>
    </w:p>
    <w:p w14:paraId="4836BBE1" w14:textId="77777777" w:rsidR="009B458F" w:rsidRDefault="009B458F" w:rsidP="009B458F">
      <w:pPr>
        <w:pStyle w:val="BodyText"/>
        <w:ind w:left="0" w:right="255" w:firstLine="567"/>
        <w:rPr>
          <w:rFonts w:ascii="Book Antiqua" w:hAnsi="Book Antiqua"/>
          <w:bCs/>
        </w:rPr>
      </w:pPr>
    </w:p>
    <w:p w14:paraId="45F806D9" w14:textId="7B5D5FF2" w:rsidR="002B3428" w:rsidRDefault="00AF7529" w:rsidP="009B458F">
      <w:pPr>
        <w:pStyle w:val="BodyText"/>
        <w:ind w:left="0" w:right="255" w:firstLine="567"/>
        <w:rPr>
          <w:rFonts w:ascii="Book Antiqua" w:hAnsi="Book Antiqua"/>
          <w:bCs/>
        </w:rPr>
      </w:pPr>
      <w:r w:rsidRPr="00AF7529">
        <w:rPr>
          <w:rFonts w:ascii="Book Antiqua" w:hAnsi="Book Antiqua"/>
          <w:bCs/>
        </w:rPr>
        <w:t>Stock valuation uses relative valuation techniques with a price to earnings ratio (PER) approach.</w:t>
      </w:r>
    </w:p>
    <w:p w14:paraId="0A87EA29" w14:textId="77777777" w:rsidR="009B458F" w:rsidRDefault="009B458F" w:rsidP="002B3428">
      <w:pPr>
        <w:pStyle w:val="BodyText"/>
        <w:ind w:left="0" w:right="255"/>
        <w:rPr>
          <w:rFonts w:ascii="Book Antiqua" w:hAnsi="Book Antiqua"/>
          <w:bCs/>
        </w:rPr>
      </w:pPr>
    </w:p>
    <w:p w14:paraId="694AA36B" w14:textId="77777777" w:rsidR="009B458F" w:rsidRPr="009B458F" w:rsidRDefault="009B458F" w:rsidP="009B458F">
      <w:pPr>
        <w:pStyle w:val="BodyText"/>
        <w:ind w:right="255"/>
        <w:jc w:val="center"/>
        <w:rPr>
          <w:rFonts w:ascii="Book Antiqua" w:hAnsi="Book Antiqua"/>
          <w:bCs/>
          <w:sz w:val="20"/>
          <w:szCs w:val="20"/>
        </w:rPr>
      </w:pPr>
      <w:r w:rsidRPr="009B458F">
        <w:rPr>
          <w:rFonts w:ascii="Book Antiqua" w:hAnsi="Book Antiqua"/>
          <w:b/>
          <w:sz w:val="20"/>
          <w:szCs w:val="20"/>
        </w:rPr>
        <w:t>Table 5.</w:t>
      </w:r>
      <w:r w:rsidRPr="009B458F">
        <w:rPr>
          <w:rFonts w:ascii="Book Antiqua" w:hAnsi="Book Antiqua"/>
          <w:bCs/>
          <w:sz w:val="20"/>
          <w:szCs w:val="20"/>
        </w:rPr>
        <w:t xml:space="preserve"> ANTM Stock Price Fairness Assessment</w:t>
      </w:r>
    </w:p>
    <w:p w14:paraId="18CAFD84" w14:textId="6477F6F9" w:rsidR="009B458F" w:rsidRPr="009B458F" w:rsidRDefault="009B458F" w:rsidP="009B458F">
      <w:pPr>
        <w:pStyle w:val="BodyText"/>
        <w:ind w:right="255"/>
        <w:jc w:val="center"/>
        <w:rPr>
          <w:rFonts w:ascii="Book Antiqua" w:hAnsi="Book Antiqua"/>
          <w:bCs/>
          <w:sz w:val="20"/>
          <w:szCs w:val="20"/>
        </w:rPr>
      </w:pPr>
      <w:r w:rsidRPr="009B458F">
        <w:rPr>
          <w:rFonts w:ascii="Book Antiqua" w:hAnsi="Book Antiqua"/>
          <w:bCs/>
          <w:sz w:val="20"/>
          <w:szCs w:val="20"/>
        </w:rPr>
        <w:t>with Price to Earning Ratio (PER)</w:t>
      </w:r>
    </w:p>
    <w:tbl>
      <w:tblPr>
        <w:tblW w:w="4535" w:type="dxa"/>
        <w:jc w:val="center"/>
        <w:tblLook w:val="04A0" w:firstRow="1" w:lastRow="0" w:firstColumn="1" w:lastColumn="0" w:noHBand="0" w:noVBand="1"/>
      </w:tblPr>
      <w:tblGrid>
        <w:gridCol w:w="2977"/>
        <w:gridCol w:w="1749"/>
      </w:tblGrid>
      <w:tr w:rsidR="009B458F" w:rsidRPr="009B458F" w14:paraId="2428401F" w14:textId="77777777" w:rsidTr="009B458F">
        <w:trPr>
          <w:trHeight w:val="150"/>
          <w:jc w:val="center"/>
        </w:trPr>
        <w:tc>
          <w:tcPr>
            <w:tcW w:w="2977" w:type="dxa"/>
            <w:tcBorders>
              <w:top w:val="single" w:sz="4" w:space="0" w:color="auto"/>
              <w:bottom w:val="single" w:sz="4" w:space="0" w:color="auto"/>
            </w:tcBorders>
            <w:shd w:val="clear" w:color="auto" w:fill="auto"/>
            <w:noWrap/>
            <w:vAlign w:val="bottom"/>
            <w:hideMark/>
          </w:tcPr>
          <w:p w14:paraId="3E6C6D6C"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Description</w:t>
            </w:r>
          </w:p>
        </w:tc>
        <w:tc>
          <w:tcPr>
            <w:tcW w:w="1558" w:type="dxa"/>
            <w:tcBorders>
              <w:top w:val="single" w:sz="4" w:space="0" w:color="auto"/>
              <w:bottom w:val="single" w:sz="4" w:space="0" w:color="auto"/>
            </w:tcBorders>
            <w:shd w:val="clear" w:color="auto" w:fill="auto"/>
            <w:noWrap/>
            <w:vAlign w:val="bottom"/>
            <w:hideMark/>
          </w:tcPr>
          <w:p w14:paraId="60AE921D"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Amount</w:t>
            </w:r>
          </w:p>
        </w:tc>
      </w:tr>
      <w:tr w:rsidR="009B458F" w:rsidRPr="009B458F" w14:paraId="6229139D" w14:textId="77777777" w:rsidTr="009B458F">
        <w:trPr>
          <w:trHeight w:val="168"/>
          <w:jc w:val="center"/>
        </w:trPr>
        <w:tc>
          <w:tcPr>
            <w:tcW w:w="2977" w:type="dxa"/>
            <w:tcBorders>
              <w:top w:val="single" w:sz="4" w:space="0" w:color="auto"/>
            </w:tcBorders>
            <w:shd w:val="clear" w:color="auto" w:fill="auto"/>
            <w:noWrap/>
            <w:vAlign w:val="bottom"/>
            <w:hideMark/>
          </w:tcPr>
          <w:p w14:paraId="3730BA15"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 xml:space="preserve">g </w:t>
            </w:r>
          </w:p>
        </w:tc>
        <w:tc>
          <w:tcPr>
            <w:tcW w:w="1558" w:type="dxa"/>
            <w:tcBorders>
              <w:top w:val="single" w:sz="4" w:space="0" w:color="auto"/>
            </w:tcBorders>
            <w:shd w:val="clear" w:color="auto" w:fill="auto"/>
            <w:noWrap/>
            <w:vAlign w:val="bottom"/>
            <w:hideMark/>
          </w:tcPr>
          <w:p w14:paraId="635F82C8"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0,0378</w:t>
            </w:r>
          </w:p>
        </w:tc>
      </w:tr>
      <w:tr w:rsidR="009B458F" w:rsidRPr="009B458F" w14:paraId="4CBC7558" w14:textId="77777777" w:rsidTr="009B458F">
        <w:trPr>
          <w:trHeight w:val="64"/>
          <w:jc w:val="center"/>
        </w:trPr>
        <w:tc>
          <w:tcPr>
            <w:tcW w:w="2977" w:type="dxa"/>
            <w:shd w:val="clear" w:color="auto" w:fill="auto"/>
            <w:noWrap/>
            <w:vAlign w:val="bottom"/>
            <w:hideMark/>
          </w:tcPr>
          <w:p w14:paraId="5CE24985"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 xml:space="preserve">E1 (Rp) </w:t>
            </w:r>
          </w:p>
        </w:tc>
        <w:tc>
          <w:tcPr>
            <w:tcW w:w="1558" w:type="dxa"/>
            <w:shd w:val="clear" w:color="auto" w:fill="auto"/>
            <w:noWrap/>
            <w:vAlign w:val="bottom"/>
            <w:hideMark/>
          </w:tcPr>
          <w:p w14:paraId="702B6B33"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80,4</w:t>
            </w:r>
          </w:p>
        </w:tc>
      </w:tr>
      <w:tr w:rsidR="009B458F" w:rsidRPr="009B458F" w14:paraId="68F12936" w14:textId="77777777" w:rsidTr="009B458F">
        <w:trPr>
          <w:trHeight w:val="64"/>
          <w:jc w:val="center"/>
        </w:trPr>
        <w:tc>
          <w:tcPr>
            <w:tcW w:w="2977" w:type="dxa"/>
            <w:shd w:val="clear" w:color="auto" w:fill="auto"/>
            <w:noWrap/>
            <w:vAlign w:val="bottom"/>
            <w:hideMark/>
          </w:tcPr>
          <w:p w14:paraId="74EE8782"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D1 (Rp)</w:t>
            </w:r>
          </w:p>
        </w:tc>
        <w:tc>
          <w:tcPr>
            <w:tcW w:w="1558" w:type="dxa"/>
            <w:shd w:val="clear" w:color="auto" w:fill="auto"/>
            <w:noWrap/>
            <w:vAlign w:val="bottom"/>
            <w:hideMark/>
          </w:tcPr>
          <w:p w14:paraId="7DD17E8F"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40,2</w:t>
            </w:r>
          </w:p>
        </w:tc>
      </w:tr>
      <w:tr w:rsidR="009B458F" w:rsidRPr="009B458F" w14:paraId="308764A6" w14:textId="77777777" w:rsidTr="009B458F">
        <w:trPr>
          <w:trHeight w:val="64"/>
          <w:jc w:val="center"/>
        </w:trPr>
        <w:tc>
          <w:tcPr>
            <w:tcW w:w="2977" w:type="dxa"/>
            <w:shd w:val="clear" w:color="auto" w:fill="auto"/>
            <w:noWrap/>
            <w:vAlign w:val="bottom"/>
            <w:hideMark/>
          </w:tcPr>
          <w:p w14:paraId="06C6E0CD"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 xml:space="preserve">K </w:t>
            </w:r>
          </w:p>
        </w:tc>
        <w:tc>
          <w:tcPr>
            <w:tcW w:w="1558" w:type="dxa"/>
            <w:shd w:val="clear" w:color="auto" w:fill="auto"/>
            <w:noWrap/>
            <w:vAlign w:val="bottom"/>
            <w:hideMark/>
          </w:tcPr>
          <w:p w14:paraId="16AAC655"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0,05566</w:t>
            </w:r>
          </w:p>
        </w:tc>
      </w:tr>
      <w:tr w:rsidR="009B458F" w:rsidRPr="009B458F" w14:paraId="28947C69" w14:textId="77777777" w:rsidTr="009B458F">
        <w:trPr>
          <w:trHeight w:val="64"/>
          <w:jc w:val="center"/>
        </w:trPr>
        <w:tc>
          <w:tcPr>
            <w:tcW w:w="2977" w:type="dxa"/>
            <w:shd w:val="clear" w:color="auto" w:fill="auto"/>
            <w:noWrap/>
            <w:vAlign w:val="bottom"/>
            <w:hideMark/>
          </w:tcPr>
          <w:p w14:paraId="552D0FDE"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 xml:space="preserve">PER (kali) </w:t>
            </w:r>
          </w:p>
        </w:tc>
        <w:tc>
          <w:tcPr>
            <w:tcW w:w="1558" w:type="dxa"/>
            <w:shd w:val="clear" w:color="auto" w:fill="auto"/>
            <w:noWrap/>
            <w:vAlign w:val="bottom"/>
            <w:hideMark/>
          </w:tcPr>
          <w:p w14:paraId="3CC69024"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27,99</w:t>
            </w:r>
          </w:p>
        </w:tc>
      </w:tr>
      <w:tr w:rsidR="009B458F" w:rsidRPr="009B458F" w14:paraId="51CB3C1B" w14:textId="77777777" w:rsidTr="009B458F">
        <w:trPr>
          <w:trHeight w:val="112"/>
          <w:jc w:val="center"/>
        </w:trPr>
        <w:tc>
          <w:tcPr>
            <w:tcW w:w="2977" w:type="dxa"/>
            <w:shd w:val="clear" w:color="auto" w:fill="auto"/>
            <w:noWrap/>
            <w:vAlign w:val="bottom"/>
            <w:hideMark/>
          </w:tcPr>
          <w:p w14:paraId="63759EFC" w14:textId="4B9E4D74"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Intrinsic</w:t>
            </w:r>
            <w:r>
              <w:rPr>
                <w:rFonts w:ascii="Book Antiqua" w:hAnsi="Book Antiqua"/>
                <w:bCs/>
                <w:sz w:val="22"/>
                <w:szCs w:val="22"/>
                <w:lang w:val="en-ID"/>
              </w:rPr>
              <w:t xml:space="preserve"> </w:t>
            </w:r>
            <w:r w:rsidRPr="009B458F">
              <w:rPr>
                <w:rFonts w:ascii="Book Antiqua" w:hAnsi="Book Antiqua"/>
                <w:bCs/>
                <w:sz w:val="22"/>
                <w:szCs w:val="22"/>
                <w:lang w:val="en-ID"/>
              </w:rPr>
              <w:t xml:space="preserve">Value (Rp) </w:t>
            </w:r>
          </w:p>
        </w:tc>
        <w:tc>
          <w:tcPr>
            <w:tcW w:w="1558" w:type="dxa"/>
            <w:shd w:val="clear" w:color="auto" w:fill="auto"/>
            <w:noWrap/>
            <w:vAlign w:val="bottom"/>
            <w:hideMark/>
          </w:tcPr>
          <w:p w14:paraId="32611765"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2.250</w:t>
            </w:r>
          </w:p>
        </w:tc>
      </w:tr>
      <w:tr w:rsidR="009B458F" w:rsidRPr="009B458F" w14:paraId="1985871F" w14:textId="77777777" w:rsidTr="009B458F">
        <w:trPr>
          <w:trHeight w:val="64"/>
          <w:jc w:val="center"/>
        </w:trPr>
        <w:tc>
          <w:tcPr>
            <w:tcW w:w="2977" w:type="dxa"/>
            <w:tcBorders>
              <w:bottom w:val="single" w:sz="4" w:space="0" w:color="auto"/>
            </w:tcBorders>
            <w:shd w:val="clear" w:color="auto" w:fill="auto"/>
            <w:noWrap/>
            <w:vAlign w:val="bottom"/>
            <w:hideMark/>
          </w:tcPr>
          <w:p w14:paraId="7CCDBD68"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Market Price (Rp)</w:t>
            </w:r>
          </w:p>
        </w:tc>
        <w:tc>
          <w:tcPr>
            <w:tcW w:w="1558" w:type="dxa"/>
            <w:tcBorders>
              <w:bottom w:val="single" w:sz="4" w:space="0" w:color="auto"/>
            </w:tcBorders>
            <w:shd w:val="clear" w:color="auto" w:fill="auto"/>
            <w:noWrap/>
            <w:vAlign w:val="bottom"/>
            <w:hideMark/>
          </w:tcPr>
          <w:p w14:paraId="7BE84AAB" w14:textId="77777777" w:rsidR="009B458F" w:rsidRPr="009B458F" w:rsidRDefault="009B458F" w:rsidP="009B458F">
            <w:pPr>
              <w:pStyle w:val="BodyText"/>
              <w:ind w:right="255"/>
              <w:rPr>
                <w:rFonts w:ascii="Book Antiqua" w:hAnsi="Book Antiqua"/>
                <w:bCs/>
                <w:sz w:val="22"/>
                <w:szCs w:val="22"/>
                <w:lang w:val="en-ID"/>
              </w:rPr>
            </w:pPr>
            <w:r w:rsidRPr="009B458F">
              <w:rPr>
                <w:rFonts w:ascii="Book Antiqua" w:hAnsi="Book Antiqua"/>
                <w:bCs/>
                <w:sz w:val="22"/>
                <w:szCs w:val="22"/>
                <w:lang w:val="en-ID"/>
              </w:rPr>
              <w:t>1.985</w:t>
            </w:r>
          </w:p>
        </w:tc>
      </w:tr>
    </w:tbl>
    <w:p w14:paraId="492951B6" w14:textId="51309C77" w:rsidR="00BD02C9" w:rsidRDefault="009B458F" w:rsidP="00BD02C9">
      <w:pPr>
        <w:pStyle w:val="BodyText"/>
        <w:ind w:right="255"/>
        <w:jc w:val="center"/>
        <w:rPr>
          <w:rFonts w:ascii="Book Antiqua" w:hAnsi="Book Antiqua"/>
          <w:bCs/>
          <w:sz w:val="20"/>
          <w:szCs w:val="20"/>
        </w:rPr>
      </w:pPr>
      <w:r w:rsidRPr="009B458F">
        <w:rPr>
          <w:rFonts w:ascii="Book Antiqua" w:hAnsi="Book Antiqua"/>
          <w:bCs/>
          <w:sz w:val="20"/>
          <w:szCs w:val="20"/>
        </w:rPr>
        <w:t>Source: Data processed by researchers from</w:t>
      </w:r>
    </w:p>
    <w:p w14:paraId="0BBEB99C" w14:textId="3D087974" w:rsidR="00BD02C9" w:rsidRPr="00BD02C9" w:rsidRDefault="009B458F" w:rsidP="00BD02C9">
      <w:pPr>
        <w:pStyle w:val="BodyText"/>
        <w:ind w:right="255"/>
        <w:jc w:val="center"/>
        <w:rPr>
          <w:rFonts w:ascii="Book Antiqua" w:hAnsi="Book Antiqua"/>
          <w:bCs/>
          <w:sz w:val="20"/>
          <w:szCs w:val="20"/>
        </w:rPr>
      </w:pPr>
      <w:r w:rsidRPr="009B458F">
        <w:rPr>
          <w:rFonts w:ascii="Book Antiqua" w:hAnsi="Book Antiqua"/>
          <w:bCs/>
          <w:sz w:val="20"/>
          <w:szCs w:val="20"/>
        </w:rPr>
        <w:t>https://antam.com/en/reports/annual-reports (2023)</w:t>
      </w:r>
    </w:p>
    <w:p w14:paraId="25A2179E" w14:textId="77777777" w:rsidR="00BD02C9" w:rsidRPr="00BD02C9" w:rsidRDefault="00BD02C9" w:rsidP="009B458F">
      <w:pPr>
        <w:pStyle w:val="BodyText"/>
        <w:ind w:right="255"/>
        <w:rPr>
          <w:rFonts w:ascii="Book Antiqua" w:hAnsi="Book Antiqua"/>
          <w:bCs/>
          <w:sz w:val="20"/>
          <w:szCs w:val="20"/>
        </w:rPr>
      </w:pPr>
    </w:p>
    <w:p w14:paraId="6EA4A9E1" w14:textId="69A4857B" w:rsidR="009B458F" w:rsidRPr="002B3428" w:rsidRDefault="00BD02C9" w:rsidP="003F208F">
      <w:pPr>
        <w:pStyle w:val="BodyText"/>
        <w:ind w:left="0" w:right="255" w:firstLine="567"/>
        <w:rPr>
          <w:rFonts w:ascii="Book Antiqua" w:hAnsi="Book Antiqua"/>
          <w:bCs/>
        </w:rPr>
      </w:pPr>
      <w:r w:rsidRPr="00BD02C9">
        <w:rPr>
          <w:rFonts w:ascii="Book Antiqua" w:hAnsi="Book Antiqua"/>
          <w:bCs/>
        </w:rPr>
        <w:t>Based on the results of stock valuation using relative valuation techniques with the price earning ratio (PER) approach as seen in the table above, the intrinsic value of ANTM shares is greater than its market price. Thus, it can be concluded that the average Stock Price condition of PT Aneka Tambang Tbk in 2018-2022 is in an Undervalued position. In other words, the stock price of PT Aneka Tambang Tbk in 2018-2022 is considered cheap.</w:t>
      </w:r>
      <w:r w:rsidR="003F208F">
        <w:rPr>
          <w:rFonts w:ascii="Book Antiqua" w:hAnsi="Book Antiqua"/>
          <w:bCs/>
        </w:rPr>
        <w:t xml:space="preserve"> </w:t>
      </w:r>
      <w:r w:rsidR="003F208F" w:rsidRPr="003F208F">
        <w:rPr>
          <w:rFonts w:ascii="Book Antiqua" w:hAnsi="Book Antiqua"/>
          <w:bCs/>
        </w:rPr>
        <w:t>Stock valuation uses relative valuation techniques with a price to book value (PBV) approach.</w:t>
      </w:r>
    </w:p>
    <w:p w14:paraId="2D898C91" w14:textId="77777777" w:rsidR="009D0A57" w:rsidRDefault="009D0A57" w:rsidP="009D0A57">
      <w:pPr>
        <w:pStyle w:val="BodyText"/>
        <w:ind w:left="0" w:right="255"/>
        <w:jc w:val="center"/>
        <w:rPr>
          <w:rFonts w:ascii="Book Antiqua" w:hAnsi="Book Antiqua"/>
          <w:b/>
          <w:sz w:val="20"/>
          <w:szCs w:val="18"/>
          <w:lang w:val="id-ID"/>
        </w:rPr>
      </w:pPr>
    </w:p>
    <w:p w14:paraId="0701D420" w14:textId="2BEC9129" w:rsidR="002B3428" w:rsidRDefault="009D0A57" w:rsidP="009D0A57">
      <w:pPr>
        <w:pStyle w:val="BodyText"/>
        <w:ind w:left="0" w:right="255"/>
        <w:jc w:val="center"/>
        <w:rPr>
          <w:rFonts w:ascii="Book Antiqua" w:hAnsi="Book Antiqua"/>
          <w:bCs/>
          <w:sz w:val="20"/>
          <w:szCs w:val="18"/>
          <w:lang w:val="id-ID"/>
        </w:rPr>
      </w:pPr>
      <w:r w:rsidRPr="009D0A57">
        <w:rPr>
          <w:rFonts w:ascii="Book Antiqua" w:hAnsi="Book Antiqua"/>
          <w:b/>
          <w:sz w:val="20"/>
          <w:szCs w:val="18"/>
          <w:lang w:val="id-ID"/>
        </w:rPr>
        <w:t>Table 6.</w:t>
      </w:r>
      <w:r w:rsidRPr="009D0A57">
        <w:rPr>
          <w:rFonts w:ascii="Book Antiqua" w:hAnsi="Book Antiqua"/>
          <w:bCs/>
          <w:sz w:val="20"/>
          <w:szCs w:val="18"/>
          <w:lang w:val="id-ID"/>
        </w:rPr>
        <w:t xml:space="preserve"> ANTM Stock Price Fairness Assessment with Price to Book Value (PBV)</w:t>
      </w:r>
    </w:p>
    <w:p w14:paraId="79470C86" w14:textId="1232C383" w:rsidR="009D0A57" w:rsidRDefault="00526CED" w:rsidP="009D0A57">
      <w:pPr>
        <w:pStyle w:val="BodyText"/>
        <w:ind w:left="0" w:right="255"/>
        <w:jc w:val="center"/>
        <w:rPr>
          <w:rFonts w:ascii="Book Antiqua" w:hAnsi="Book Antiqua"/>
          <w:bCs/>
          <w:sz w:val="20"/>
          <w:szCs w:val="18"/>
          <w:lang w:val="id-ID"/>
        </w:rPr>
      </w:pPr>
      <w:r>
        <w:rPr>
          <w:noProof/>
          <w:sz w:val="23"/>
          <w:szCs w:val="23"/>
        </w:rPr>
        <w:drawing>
          <wp:inline distT="0" distB="0" distL="0" distR="0" wp14:anchorId="408340F9" wp14:editId="72DBB065">
            <wp:extent cx="3840463" cy="1911928"/>
            <wp:effectExtent l="0" t="0" r="0" b="6350"/>
            <wp:docPr id="935414131" name="Picture 4" descr="A table with numbers and a number of sh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14131" name="Picture 4" descr="A table with numbers and a number of shar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4786" cy="1933994"/>
                    </a:xfrm>
                    <a:prstGeom prst="rect">
                      <a:avLst/>
                    </a:prstGeom>
                    <a:noFill/>
                    <a:ln>
                      <a:noFill/>
                    </a:ln>
                  </pic:spPr>
                </pic:pic>
              </a:graphicData>
            </a:graphic>
          </wp:inline>
        </w:drawing>
      </w:r>
    </w:p>
    <w:p w14:paraId="168494C9" w14:textId="77777777" w:rsidR="00783C12" w:rsidRPr="00783C12" w:rsidRDefault="00783C12" w:rsidP="00783C12">
      <w:pPr>
        <w:spacing w:before="33"/>
        <w:ind w:left="720" w:firstLine="720"/>
        <w:rPr>
          <w:rFonts w:ascii="Book Antiqua" w:hAnsi="Book Antiqua"/>
          <w:sz w:val="20"/>
          <w:szCs w:val="20"/>
        </w:rPr>
      </w:pPr>
      <w:r w:rsidRPr="00783C12">
        <w:rPr>
          <w:rFonts w:ascii="Book Antiqua" w:hAnsi="Book Antiqua"/>
          <w:sz w:val="20"/>
          <w:szCs w:val="20"/>
        </w:rPr>
        <w:t>Source: Data processed by researchers (2023)</w:t>
      </w:r>
    </w:p>
    <w:p w14:paraId="45523244" w14:textId="77777777" w:rsidR="00526CED" w:rsidRPr="009D0A57" w:rsidRDefault="00526CED" w:rsidP="009D0A57">
      <w:pPr>
        <w:pStyle w:val="BodyText"/>
        <w:ind w:left="0" w:right="255"/>
        <w:jc w:val="center"/>
        <w:rPr>
          <w:rFonts w:ascii="Book Antiqua" w:hAnsi="Book Antiqua"/>
          <w:bCs/>
          <w:sz w:val="20"/>
          <w:szCs w:val="18"/>
          <w:lang w:val="id-ID"/>
        </w:rPr>
      </w:pPr>
    </w:p>
    <w:p w14:paraId="65EC18FB" w14:textId="77777777" w:rsidR="00DB1F4F" w:rsidRDefault="00AD1CB6" w:rsidP="00DB1F4F">
      <w:pPr>
        <w:ind w:right="11" w:firstLine="567"/>
        <w:jc w:val="both"/>
        <w:rPr>
          <w:rFonts w:ascii="Book Antiqua" w:hAnsi="Book Antiqua"/>
          <w:sz w:val="24"/>
          <w:szCs w:val="24"/>
        </w:rPr>
      </w:pPr>
      <w:r w:rsidRPr="00AD1CB6">
        <w:rPr>
          <w:rFonts w:ascii="Book Antiqua" w:hAnsi="Book Antiqua"/>
          <w:w w:val="102"/>
          <w:sz w:val="24"/>
          <w:szCs w:val="24"/>
        </w:rPr>
        <w:t xml:space="preserve">Based on stock valuation using relative valuation techniques with the price to book </w:t>
      </w:r>
      <w:r w:rsidRPr="00AD1CB6">
        <w:rPr>
          <w:rFonts w:ascii="Book Antiqua" w:hAnsi="Book Antiqua"/>
          <w:w w:val="102"/>
          <w:sz w:val="24"/>
          <w:szCs w:val="24"/>
        </w:rPr>
        <w:lastRenderedPageBreak/>
        <w:t>value (PBV) approach as seen in the table above, the average PBV of ANTM shares is more than 1, which means that the market value of the shares is greater than its book value. Thus, it can be concluded that the Stock Price of PT Aneka Tambang Tbk in 2018-2022 is in an Overvalued position. In other words, the price of ANTM shares is considered expensive. Thus, investors who have invested in ANTM shares are advised to sell the shares and prospective investors who want to invest in ANTM shares are advised not to buy the shares.</w:t>
      </w:r>
    </w:p>
    <w:p w14:paraId="3207DA35" w14:textId="40E46198" w:rsidR="00DB1F4F" w:rsidRPr="00DB1F4F" w:rsidRDefault="00AD1CB6" w:rsidP="00DB1F4F">
      <w:pPr>
        <w:ind w:right="11" w:firstLine="567"/>
        <w:jc w:val="both"/>
        <w:rPr>
          <w:rFonts w:ascii="Book Antiqua" w:hAnsi="Book Antiqua"/>
          <w:w w:val="102"/>
          <w:sz w:val="24"/>
          <w:szCs w:val="24"/>
        </w:rPr>
      </w:pPr>
      <w:r w:rsidRPr="00DB1F4F">
        <w:rPr>
          <w:rFonts w:ascii="Book Antiqua" w:hAnsi="Book Antiqua"/>
          <w:w w:val="102"/>
          <w:sz w:val="24"/>
          <w:szCs w:val="24"/>
        </w:rPr>
        <w:t>Based on the results of stock assessment using relative valuation techniques with the price earning ratio (PER) approach, ANTM shares are considered cheap. Thus, prospective investors can buy these shares and investors who have invested in these shares can increase their share ownership by buying them again. Meanwhile, based on stock assessment using relative valuation techniques with the price to book value (PBV) approach, ANTM shares are considered expensive. Thus, prospective investors should not buy these shares. However, a high PBV value can also be interpreted as a very high level of investor confidence in the company's prospects due to the company's good performance. Therefore, in making investment decisions, it will provide more accurate results if the company's fundamentals are also included. Thus, by considering the company's fundamentals, ANTM shares are still worth buying.</w:t>
      </w:r>
    </w:p>
    <w:p w14:paraId="196EF0A3" w14:textId="77777777" w:rsidR="002369F5" w:rsidRPr="002369F5" w:rsidRDefault="002369F5" w:rsidP="002369F5">
      <w:pPr>
        <w:pStyle w:val="BodyText"/>
        <w:ind w:left="0" w:right="255"/>
        <w:rPr>
          <w:rFonts w:ascii="Book Antiqua" w:hAnsi="Book Antiqua"/>
          <w:bCs/>
          <w:szCs w:val="22"/>
          <w:lang w:val="id-ID"/>
        </w:rPr>
      </w:pPr>
    </w:p>
    <w:p w14:paraId="0A3C1A57" w14:textId="57D167C1" w:rsidR="00991B23" w:rsidRDefault="00991B23" w:rsidP="00991B23">
      <w:pPr>
        <w:pStyle w:val="BodyText"/>
        <w:ind w:left="0" w:right="255"/>
        <w:rPr>
          <w:rFonts w:ascii="Book Antiqua" w:hAnsi="Book Antiqua"/>
          <w:b/>
          <w:szCs w:val="22"/>
          <w:lang w:val="id-ID"/>
        </w:rPr>
      </w:pPr>
      <w:r w:rsidRPr="00DE4105">
        <w:rPr>
          <w:rFonts w:ascii="Book Antiqua" w:hAnsi="Book Antiqua"/>
          <w:b/>
          <w:szCs w:val="22"/>
          <w:lang w:val="id-ID"/>
        </w:rPr>
        <w:t>CONCLUSION</w:t>
      </w:r>
    </w:p>
    <w:p w14:paraId="67521812" w14:textId="77777777" w:rsidR="00991B23" w:rsidRDefault="00991B23" w:rsidP="00991B23">
      <w:pPr>
        <w:pStyle w:val="BodyText"/>
        <w:ind w:left="0" w:right="255"/>
        <w:rPr>
          <w:rFonts w:ascii="Book Antiqua" w:hAnsi="Book Antiqua"/>
          <w:b/>
          <w:szCs w:val="22"/>
          <w:lang w:val="id-ID"/>
        </w:rPr>
      </w:pPr>
    </w:p>
    <w:p w14:paraId="78A51DFF" w14:textId="4745A3FC" w:rsidR="0015783A" w:rsidRPr="0015783A" w:rsidRDefault="0015783A" w:rsidP="0015783A">
      <w:pPr>
        <w:pStyle w:val="BodyText"/>
        <w:ind w:left="0" w:right="255"/>
        <w:rPr>
          <w:rFonts w:ascii="Book Antiqua" w:hAnsi="Book Antiqua"/>
          <w:bCs/>
        </w:rPr>
      </w:pPr>
      <w:r w:rsidRPr="0015783A">
        <w:rPr>
          <w:rFonts w:ascii="Book Antiqua" w:hAnsi="Book Antiqua"/>
          <w:bCs/>
        </w:rPr>
        <w:t>Based on the results of the study, it can be concluded that</w:t>
      </w:r>
      <w:r>
        <w:rPr>
          <w:rFonts w:ascii="Book Antiqua" w:hAnsi="Book Antiqua"/>
          <w:bCs/>
        </w:rPr>
        <w:t>:</w:t>
      </w:r>
    </w:p>
    <w:p w14:paraId="7728311B" w14:textId="5BF0BEC9" w:rsidR="0015783A" w:rsidRDefault="0015783A" w:rsidP="0015783A">
      <w:pPr>
        <w:pStyle w:val="BodyText"/>
        <w:numPr>
          <w:ilvl w:val="0"/>
          <w:numId w:val="15"/>
        </w:numPr>
        <w:ind w:right="255"/>
        <w:rPr>
          <w:rFonts w:ascii="Book Antiqua" w:hAnsi="Book Antiqua"/>
          <w:bCs/>
        </w:rPr>
      </w:pPr>
      <w:r w:rsidRPr="0015783A">
        <w:rPr>
          <w:rFonts w:ascii="Book Antiqua" w:hAnsi="Book Antiqua"/>
          <w:bCs/>
        </w:rPr>
        <w:t>By using the price to earning ratio (PER), ANTM shares are considered cheap (undervalued) because the intrinsic value of the shares is greater than the market price of the shares. Therefore, the shares are worthy of being purchased by prospective investors or investors who have invested in the shares to increase their ownership.</w:t>
      </w:r>
    </w:p>
    <w:p w14:paraId="5720CC26" w14:textId="38AA450F" w:rsidR="0015783A" w:rsidRPr="0015783A" w:rsidRDefault="0015783A" w:rsidP="0015783A">
      <w:pPr>
        <w:pStyle w:val="BodyText"/>
        <w:numPr>
          <w:ilvl w:val="0"/>
          <w:numId w:val="15"/>
        </w:numPr>
        <w:ind w:right="255"/>
        <w:rPr>
          <w:rFonts w:ascii="Book Antiqua" w:hAnsi="Book Antiqua"/>
          <w:bCs/>
        </w:rPr>
      </w:pPr>
      <w:r w:rsidRPr="0015783A">
        <w:rPr>
          <w:rFonts w:ascii="Book Antiqua" w:hAnsi="Book Antiqua"/>
          <w:bCs/>
        </w:rPr>
        <w:t>Meanwhile, by using the price to book value (PBV), ANTM shares are considered expensive (overvalued) because the PBV value is &gt; 1. Therefore, the shares should be sold or not purchased. However, by considering the fundamentals of PT Aneka Tambang Tbk, ANTM shares are still worthy of being purchased by prospective investors.</w:t>
      </w:r>
    </w:p>
    <w:p w14:paraId="56458765" w14:textId="7AA3BDF5" w:rsidR="0015783A" w:rsidRPr="0015783A" w:rsidRDefault="0015783A" w:rsidP="0015783A">
      <w:pPr>
        <w:pStyle w:val="BodyText"/>
        <w:ind w:left="0" w:right="255" w:firstLine="567"/>
        <w:rPr>
          <w:rFonts w:ascii="Book Antiqua" w:hAnsi="Book Antiqua"/>
          <w:bCs/>
        </w:rPr>
      </w:pPr>
      <w:r w:rsidRPr="0015783A">
        <w:rPr>
          <w:rFonts w:ascii="Book Antiqua" w:hAnsi="Book Antiqua"/>
          <w:bCs/>
        </w:rPr>
        <w:t>By considering other factors such as global, regional, and domestic economic conditions as well as the qualitative perspective of each company, the price to earning ratio and price to book value methods cannot be used as the sole basis for investment decisions. The researcher hopes that further research can develop other stock valuation methods such as the dividend discount model, price to cash flow ratio, price to sales ratio, etc.</w:t>
      </w:r>
    </w:p>
    <w:p w14:paraId="09A496DC" w14:textId="77777777" w:rsidR="00991B23" w:rsidRPr="000C0D14" w:rsidRDefault="00991B23" w:rsidP="00991B23">
      <w:pPr>
        <w:jc w:val="both"/>
        <w:rPr>
          <w:rFonts w:ascii="Book Antiqua" w:hAnsi="Book Antiqua"/>
          <w:sz w:val="24"/>
          <w:szCs w:val="24"/>
        </w:rPr>
      </w:pPr>
    </w:p>
    <w:p w14:paraId="369C1140" w14:textId="77777777" w:rsidR="00371B20" w:rsidRDefault="00371B20" w:rsidP="00371B20">
      <w:pPr>
        <w:pStyle w:val="Heading1"/>
        <w:ind w:left="0"/>
        <w:rPr>
          <w:rFonts w:ascii="Book Antiqua" w:hAnsi="Book Antiqua"/>
        </w:rPr>
      </w:pPr>
      <w:r w:rsidRPr="00054FBB">
        <w:rPr>
          <w:rFonts w:ascii="Book Antiqua" w:hAnsi="Book Antiqua"/>
        </w:rPr>
        <w:t>REFEREN</w:t>
      </w:r>
      <w:r>
        <w:rPr>
          <w:rFonts w:ascii="Book Antiqua" w:hAnsi="Book Antiqua"/>
        </w:rPr>
        <w:t xml:space="preserve">CES </w:t>
      </w:r>
    </w:p>
    <w:p w14:paraId="03866138" w14:textId="77777777" w:rsidR="00371B20" w:rsidRPr="00054FBB" w:rsidRDefault="00371B20" w:rsidP="00371B20">
      <w:pPr>
        <w:pStyle w:val="Heading1"/>
        <w:ind w:left="0"/>
        <w:rPr>
          <w:rFonts w:ascii="Book Antiqua" w:hAnsi="Book Antiqua"/>
        </w:rPr>
      </w:pPr>
    </w:p>
    <w:p w14:paraId="55201F66" w14:textId="3FA77DD7" w:rsidR="0095570B" w:rsidRPr="0095570B" w:rsidRDefault="0095570B" w:rsidP="0095570B">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 xml:space="preserve">Afriani, E., &amp; Rusdayanti, A. (2019). Analisis Valuasi Harga Saham </w:t>
      </w:r>
      <w:r>
        <w:rPr>
          <w:rFonts w:ascii="Book Antiqua" w:hAnsi="Book Antiqua"/>
          <w:color w:val="000000" w:themeColor="text1"/>
          <w:sz w:val="24"/>
          <w:szCs w:val="24"/>
        </w:rPr>
        <w:t>d</w:t>
      </w:r>
      <w:r w:rsidRPr="0095570B">
        <w:rPr>
          <w:rFonts w:ascii="Book Antiqua" w:hAnsi="Book Antiqua"/>
          <w:color w:val="000000" w:themeColor="text1"/>
          <w:sz w:val="24"/>
          <w:szCs w:val="24"/>
        </w:rPr>
        <w:t xml:space="preserve">engan Price Earning Ratio, Free Cash Flow </w:t>
      </w:r>
      <w:r>
        <w:rPr>
          <w:rFonts w:ascii="Book Antiqua" w:hAnsi="Book Antiqua"/>
          <w:color w:val="000000" w:themeColor="text1"/>
          <w:sz w:val="24"/>
          <w:szCs w:val="24"/>
        </w:rPr>
        <w:t>t</w:t>
      </w:r>
      <w:r w:rsidRPr="0095570B">
        <w:rPr>
          <w:rFonts w:ascii="Book Antiqua" w:hAnsi="Book Antiqua"/>
          <w:color w:val="000000" w:themeColor="text1"/>
          <w:sz w:val="24"/>
          <w:szCs w:val="24"/>
        </w:rPr>
        <w:t xml:space="preserve">o Equity </w:t>
      </w:r>
      <w:r>
        <w:rPr>
          <w:rFonts w:ascii="Book Antiqua" w:hAnsi="Book Antiqua"/>
          <w:color w:val="000000" w:themeColor="text1"/>
          <w:sz w:val="24"/>
          <w:szCs w:val="24"/>
        </w:rPr>
        <w:t>d</w:t>
      </w:r>
      <w:r w:rsidRPr="0095570B">
        <w:rPr>
          <w:rFonts w:ascii="Book Antiqua" w:hAnsi="Book Antiqua"/>
          <w:color w:val="000000" w:themeColor="text1"/>
          <w:sz w:val="24"/>
          <w:szCs w:val="24"/>
        </w:rPr>
        <w:t xml:space="preserve">an Free Cash Flow </w:t>
      </w:r>
      <w:r>
        <w:rPr>
          <w:rFonts w:ascii="Book Antiqua" w:hAnsi="Book Antiqua"/>
          <w:color w:val="000000" w:themeColor="text1"/>
          <w:sz w:val="24"/>
          <w:szCs w:val="24"/>
        </w:rPr>
        <w:t>t</w:t>
      </w:r>
      <w:r w:rsidRPr="0095570B">
        <w:rPr>
          <w:rFonts w:ascii="Book Antiqua" w:hAnsi="Book Antiqua"/>
          <w:color w:val="000000" w:themeColor="text1"/>
          <w:sz w:val="24"/>
          <w:szCs w:val="24"/>
        </w:rPr>
        <w:t xml:space="preserve">o Firm </w:t>
      </w:r>
      <w:r>
        <w:rPr>
          <w:rFonts w:ascii="Book Antiqua" w:hAnsi="Book Antiqua"/>
          <w:color w:val="000000" w:themeColor="text1"/>
          <w:sz w:val="24"/>
          <w:szCs w:val="24"/>
        </w:rPr>
        <w:t>p</w:t>
      </w:r>
      <w:r w:rsidRPr="0095570B">
        <w:rPr>
          <w:rFonts w:ascii="Book Antiqua" w:hAnsi="Book Antiqua"/>
          <w:color w:val="000000" w:themeColor="text1"/>
          <w:sz w:val="24"/>
          <w:szCs w:val="24"/>
        </w:rPr>
        <w:t xml:space="preserve">ada Perusahaan Manufaktur. </w:t>
      </w:r>
      <w:r w:rsidRPr="0095570B">
        <w:rPr>
          <w:rFonts w:ascii="Book Antiqua" w:hAnsi="Book Antiqua"/>
          <w:i/>
          <w:iCs/>
          <w:color w:val="000000" w:themeColor="text1"/>
          <w:sz w:val="24"/>
          <w:szCs w:val="24"/>
        </w:rPr>
        <w:t>Jurnal Sains Manajemen dan Kewirausahaan</w:t>
      </w:r>
      <w:r w:rsidRPr="0095570B">
        <w:rPr>
          <w:rFonts w:ascii="Book Antiqua" w:hAnsi="Book Antiqua"/>
          <w:color w:val="000000" w:themeColor="text1"/>
          <w:sz w:val="24"/>
          <w:szCs w:val="24"/>
        </w:rPr>
        <w:t>, 3(02), 111-123.</w:t>
      </w:r>
    </w:p>
    <w:p w14:paraId="56CFC9B9" w14:textId="79702669" w:rsidR="0095570B" w:rsidRPr="0095570B" w:rsidRDefault="0095570B" w:rsidP="0095570B">
      <w:pPr>
        <w:ind w:left="567" w:right="49" w:hanging="567"/>
        <w:jc w:val="both"/>
        <w:rPr>
          <w:rFonts w:ascii="Book Antiqua" w:hAnsi="Book Antiqua"/>
          <w:i/>
          <w:iCs/>
          <w:color w:val="000000" w:themeColor="text1"/>
          <w:sz w:val="24"/>
          <w:szCs w:val="24"/>
        </w:rPr>
      </w:pPr>
      <w:r w:rsidRPr="0095570B">
        <w:rPr>
          <w:rFonts w:ascii="Book Antiqua" w:hAnsi="Book Antiqua"/>
          <w:color w:val="000000" w:themeColor="text1"/>
          <w:sz w:val="24"/>
          <w:szCs w:val="24"/>
        </w:rPr>
        <w:t xml:space="preserve">Alhakim, G. F. (2018). Analisis Fundamental Perusahaan Serta Penilaian Saham Dengan </w:t>
      </w:r>
      <w:r w:rsidRPr="0095570B">
        <w:rPr>
          <w:rFonts w:ascii="Book Antiqua" w:hAnsi="Book Antiqua"/>
          <w:color w:val="000000" w:themeColor="text1"/>
          <w:sz w:val="24"/>
          <w:szCs w:val="24"/>
        </w:rPr>
        <w:lastRenderedPageBreak/>
        <w:t xml:space="preserve">Metode Price Earning Ratio dan Price Book Value Dalam Rangka Menilai Harga Wajar Saham dan Keputusan Investasi. </w:t>
      </w:r>
      <w:r w:rsidRPr="0095570B">
        <w:rPr>
          <w:rFonts w:ascii="Book Antiqua" w:hAnsi="Book Antiqua"/>
          <w:i/>
          <w:iCs/>
          <w:color w:val="000000" w:themeColor="text1"/>
          <w:sz w:val="24"/>
          <w:szCs w:val="24"/>
        </w:rPr>
        <w:t>Lampung: Universitas Islam Negeri Raden Intan.</w:t>
      </w:r>
    </w:p>
    <w:p w14:paraId="05EE589F" w14:textId="1B13DFA6" w:rsidR="0095570B" w:rsidRPr="0095570B" w:rsidRDefault="0095570B" w:rsidP="0095570B">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Deviyana, N. (2023, Februari 18). Tiga Emiten Nikel yang Dinilai cerah di 2023, Ada INCO hingga MDKA. https://www.idxchannel.com/market-news/tiga-emiten-nikel-yang- dinilai-cerah-di-2023-ada-inco-hingga-mdka/2</w:t>
      </w:r>
      <w:r>
        <w:rPr>
          <w:rFonts w:ascii="Book Antiqua" w:hAnsi="Book Antiqua"/>
          <w:color w:val="000000" w:themeColor="text1"/>
          <w:sz w:val="24"/>
          <w:szCs w:val="24"/>
        </w:rPr>
        <w:t>.</w:t>
      </w:r>
    </w:p>
    <w:p w14:paraId="2B494FC8" w14:textId="6962B503" w:rsidR="0095570B" w:rsidRPr="0095570B" w:rsidRDefault="0095570B" w:rsidP="0095570B">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 xml:space="preserve">Fahruri, A., &amp; Ikhsan, M. (2021). Analisa Price to Earning Ratio (PER) dalam Pengambilan Keputusan Investasi (Studi Kasus pada Perusahaan Perbankan BUMN yang terdaftar di Bursa Efek Indonesia tahun 2021). </w:t>
      </w:r>
      <w:r w:rsidRPr="0095570B">
        <w:rPr>
          <w:rFonts w:ascii="Book Antiqua" w:hAnsi="Book Antiqua"/>
          <w:i/>
          <w:iCs/>
          <w:color w:val="000000" w:themeColor="text1"/>
          <w:sz w:val="24"/>
          <w:szCs w:val="24"/>
        </w:rPr>
        <w:t>Jurnal STEI Ekonomi</w:t>
      </w:r>
      <w:r w:rsidRPr="0095570B">
        <w:rPr>
          <w:rFonts w:ascii="Book Antiqua" w:hAnsi="Book Antiqua"/>
          <w:color w:val="000000" w:themeColor="text1"/>
          <w:sz w:val="24"/>
          <w:szCs w:val="24"/>
        </w:rPr>
        <w:t>, 30(02), 46-52.</w:t>
      </w:r>
    </w:p>
    <w:p w14:paraId="5CB6165E" w14:textId="77777777" w:rsidR="0095570B" w:rsidRDefault="0095570B" w:rsidP="0095570B">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Hartono, J. (2022). Portofolio Dan Analisis Investasi: Pendekatan Modul (Edisi 2).</w:t>
      </w:r>
      <w:r>
        <w:rPr>
          <w:rFonts w:ascii="Book Antiqua" w:hAnsi="Book Antiqua"/>
          <w:color w:val="000000" w:themeColor="text1"/>
          <w:sz w:val="24"/>
          <w:szCs w:val="24"/>
        </w:rPr>
        <w:t xml:space="preserve"> </w:t>
      </w:r>
      <w:r w:rsidRPr="0095570B">
        <w:rPr>
          <w:rFonts w:ascii="Book Antiqua" w:hAnsi="Book Antiqua"/>
          <w:color w:val="000000" w:themeColor="text1"/>
          <w:sz w:val="24"/>
          <w:szCs w:val="24"/>
        </w:rPr>
        <w:t>Yogyakarta: ANDI.</w:t>
      </w:r>
    </w:p>
    <w:p w14:paraId="10589005" w14:textId="1A9B03AD" w:rsidR="0095570B" w:rsidRPr="0095570B" w:rsidRDefault="0095570B" w:rsidP="0095570B">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 xml:space="preserve">Jayanti, C. M., Karman, A., &amp; Firdaus, M. A. (2022). Keputusan Investasi Saham </w:t>
      </w:r>
      <w:r>
        <w:rPr>
          <w:rFonts w:ascii="Book Antiqua" w:hAnsi="Book Antiqua"/>
          <w:color w:val="000000" w:themeColor="text1"/>
          <w:sz w:val="24"/>
          <w:szCs w:val="24"/>
        </w:rPr>
        <w:t>d</w:t>
      </w:r>
      <w:r w:rsidRPr="0095570B">
        <w:rPr>
          <w:rFonts w:ascii="Book Antiqua" w:hAnsi="Book Antiqua"/>
          <w:color w:val="000000" w:themeColor="text1"/>
          <w:sz w:val="24"/>
          <w:szCs w:val="24"/>
        </w:rPr>
        <w:t xml:space="preserve">engan Menggunakan Analisis Fundamental Melalui Pendekatan Price Earning Ratio. </w:t>
      </w:r>
      <w:r w:rsidRPr="0095570B">
        <w:rPr>
          <w:rFonts w:ascii="Book Antiqua" w:hAnsi="Book Antiqua"/>
          <w:i/>
          <w:iCs/>
          <w:color w:val="000000" w:themeColor="text1"/>
          <w:sz w:val="24"/>
          <w:szCs w:val="24"/>
        </w:rPr>
        <w:t>Jurnal Kajian Ekonomi Syariah</w:t>
      </w:r>
      <w:r w:rsidRPr="0095570B">
        <w:rPr>
          <w:rFonts w:ascii="Book Antiqua" w:hAnsi="Book Antiqua"/>
          <w:color w:val="000000" w:themeColor="text1"/>
          <w:sz w:val="24"/>
          <w:szCs w:val="24"/>
        </w:rPr>
        <w:t>, 65-79.</w:t>
      </w:r>
    </w:p>
    <w:p w14:paraId="145EF782" w14:textId="11FA8966" w:rsidR="0095570B" w:rsidRPr="0095570B" w:rsidRDefault="0095570B" w:rsidP="0095570B">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 xml:space="preserve">Murdiyanto, E., &amp; Kusumaningarti, M. (2020). Analisis Investasi </w:t>
      </w:r>
      <w:r>
        <w:rPr>
          <w:rFonts w:ascii="Book Antiqua" w:hAnsi="Book Antiqua"/>
          <w:color w:val="000000" w:themeColor="text1"/>
          <w:sz w:val="24"/>
          <w:szCs w:val="24"/>
        </w:rPr>
        <w:t>d</w:t>
      </w:r>
      <w:r w:rsidRPr="0095570B">
        <w:rPr>
          <w:rFonts w:ascii="Book Antiqua" w:hAnsi="Book Antiqua"/>
          <w:color w:val="000000" w:themeColor="text1"/>
          <w:sz w:val="24"/>
          <w:szCs w:val="24"/>
        </w:rPr>
        <w:t>an Manajemen Portofolio Pasar Modal Indonesia. Surabaya: Jakad Media Publishing.</w:t>
      </w:r>
    </w:p>
    <w:p w14:paraId="3CDD81BF" w14:textId="66AD44F3" w:rsidR="0095570B" w:rsidRPr="0095570B" w:rsidRDefault="0095570B" w:rsidP="0095570B">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 xml:space="preserve">Nurhayati, Devi, Y., Saefurrohman, G. U., &amp; Ningsih, N. W. (2022). Analisis Fundamental Dan Penilaian Saham Guna Keputusan Investasi (Studi </w:t>
      </w:r>
      <w:r>
        <w:rPr>
          <w:rFonts w:ascii="Book Antiqua" w:hAnsi="Book Antiqua"/>
          <w:color w:val="000000" w:themeColor="text1"/>
          <w:sz w:val="24"/>
          <w:szCs w:val="24"/>
        </w:rPr>
        <w:t>p</w:t>
      </w:r>
      <w:r w:rsidRPr="0095570B">
        <w:rPr>
          <w:rFonts w:ascii="Book Antiqua" w:hAnsi="Book Antiqua"/>
          <w:color w:val="000000" w:themeColor="text1"/>
          <w:sz w:val="24"/>
          <w:szCs w:val="24"/>
        </w:rPr>
        <w:t xml:space="preserve">ada Perusahaan </w:t>
      </w:r>
      <w:r>
        <w:rPr>
          <w:rFonts w:ascii="Book Antiqua" w:hAnsi="Book Antiqua"/>
          <w:color w:val="000000" w:themeColor="text1"/>
          <w:sz w:val="24"/>
          <w:szCs w:val="24"/>
        </w:rPr>
        <w:t>y</w:t>
      </w:r>
      <w:r w:rsidRPr="0095570B">
        <w:rPr>
          <w:rFonts w:ascii="Book Antiqua" w:hAnsi="Book Antiqua"/>
          <w:color w:val="000000" w:themeColor="text1"/>
          <w:sz w:val="24"/>
          <w:szCs w:val="24"/>
        </w:rPr>
        <w:t xml:space="preserve">ang Terdaftar </w:t>
      </w:r>
      <w:r>
        <w:rPr>
          <w:rFonts w:ascii="Book Antiqua" w:hAnsi="Book Antiqua"/>
          <w:color w:val="000000" w:themeColor="text1"/>
          <w:sz w:val="24"/>
          <w:szCs w:val="24"/>
        </w:rPr>
        <w:t>d</w:t>
      </w:r>
      <w:r w:rsidRPr="0095570B">
        <w:rPr>
          <w:rFonts w:ascii="Book Antiqua" w:hAnsi="Book Antiqua"/>
          <w:color w:val="000000" w:themeColor="text1"/>
          <w:sz w:val="24"/>
          <w:szCs w:val="24"/>
        </w:rPr>
        <w:t>i Daftar Efek Syariah (DES) P</w:t>
      </w:r>
      <w:r>
        <w:rPr>
          <w:rFonts w:ascii="Book Antiqua" w:hAnsi="Book Antiqua"/>
          <w:color w:val="000000" w:themeColor="text1"/>
          <w:sz w:val="24"/>
          <w:szCs w:val="24"/>
        </w:rPr>
        <w:t>eriode</w:t>
      </w:r>
      <w:r w:rsidRPr="0095570B">
        <w:rPr>
          <w:rFonts w:ascii="Book Antiqua" w:hAnsi="Book Antiqua"/>
          <w:color w:val="000000" w:themeColor="text1"/>
          <w:sz w:val="24"/>
          <w:szCs w:val="24"/>
        </w:rPr>
        <w:t xml:space="preserve"> 2017-2019). </w:t>
      </w:r>
      <w:r w:rsidRPr="0095570B">
        <w:rPr>
          <w:rFonts w:ascii="Book Antiqua" w:hAnsi="Book Antiqua"/>
          <w:i/>
          <w:iCs/>
          <w:color w:val="000000" w:themeColor="text1"/>
          <w:sz w:val="24"/>
          <w:szCs w:val="24"/>
        </w:rPr>
        <w:t>Jurnal Akuntansi dan Pajak</w:t>
      </w:r>
      <w:r w:rsidRPr="0095570B">
        <w:rPr>
          <w:rFonts w:ascii="Book Antiqua" w:hAnsi="Book Antiqua"/>
          <w:color w:val="000000" w:themeColor="text1"/>
          <w:sz w:val="24"/>
          <w:szCs w:val="24"/>
        </w:rPr>
        <w:t>, 23(01), 18-25.</w:t>
      </w:r>
    </w:p>
    <w:p w14:paraId="5C42B3A5" w14:textId="77777777" w:rsidR="0095570B" w:rsidRDefault="0095570B" w:rsidP="0095570B">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 xml:space="preserve">Nursetyo, A. I., &amp; Syarifudin, A. (2020). Pengambilan Keputusan Investasi Saham Menggunakan Pendekatan Price Earning Ratio (Studi Kasus </w:t>
      </w:r>
      <w:r>
        <w:rPr>
          <w:rFonts w:ascii="Book Antiqua" w:hAnsi="Book Antiqua"/>
          <w:color w:val="000000" w:themeColor="text1"/>
          <w:sz w:val="24"/>
          <w:szCs w:val="24"/>
        </w:rPr>
        <w:t>p</w:t>
      </w:r>
      <w:r w:rsidRPr="0095570B">
        <w:rPr>
          <w:rFonts w:ascii="Book Antiqua" w:hAnsi="Book Antiqua"/>
          <w:color w:val="000000" w:themeColor="text1"/>
          <w:sz w:val="24"/>
          <w:szCs w:val="24"/>
        </w:rPr>
        <w:t xml:space="preserve">ada Perusahaan Terdaftar </w:t>
      </w:r>
      <w:r>
        <w:rPr>
          <w:rFonts w:ascii="Book Antiqua" w:hAnsi="Book Antiqua"/>
          <w:color w:val="000000" w:themeColor="text1"/>
          <w:sz w:val="24"/>
          <w:szCs w:val="24"/>
        </w:rPr>
        <w:t>d</w:t>
      </w:r>
      <w:r w:rsidRPr="0095570B">
        <w:rPr>
          <w:rFonts w:ascii="Book Antiqua" w:hAnsi="Book Antiqua"/>
          <w:color w:val="000000" w:themeColor="text1"/>
          <w:sz w:val="24"/>
          <w:szCs w:val="24"/>
        </w:rPr>
        <w:t>i Indeks Sri-Kehati Periode 2015-2017.</w:t>
      </w:r>
      <w:r>
        <w:rPr>
          <w:rFonts w:ascii="Book Antiqua" w:hAnsi="Book Antiqua"/>
          <w:color w:val="000000" w:themeColor="text1"/>
          <w:sz w:val="24"/>
          <w:szCs w:val="24"/>
        </w:rPr>
        <w:t>)</w:t>
      </w:r>
      <w:r w:rsidRPr="0095570B">
        <w:rPr>
          <w:rFonts w:ascii="Book Antiqua" w:hAnsi="Book Antiqua"/>
          <w:color w:val="000000" w:themeColor="text1"/>
          <w:sz w:val="24"/>
          <w:szCs w:val="24"/>
        </w:rPr>
        <w:t xml:space="preserve"> </w:t>
      </w:r>
      <w:r w:rsidRPr="0095570B">
        <w:rPr>
          <w:rFonts w:ascii="Book Antiqua" w:hAnsi="Book Antiqua"/>
          <w:i/>
          <w:iCs/>
          <w:color w:val="000000" w:themeColor="text1"/>
          <w:sz w:val="24"/>
          <w:szCs w:val="24"/>
        </w:rPr>
        <w:t>Jurnal Ilmiah Mahasiswa Manajemen, Bisnis dan Akuntansi</w:t>
      </w:r>
      <w:r w:rsidRPr="0095570B">
        <w:rPr>
          <w:rFonts w:ascii="Book Antiqua" w:hAnsi="Book Antiqua"/>
          <w:color w:val="000000" w:themeColor="text1"/>
          <w:sz w:val="24"/>
          <w:szCs w:val="24"/>
        </w:rPr>
        <w:t>,</w:t>
      </w:r>
      <w:r>
        <w:rPr>
          <w:rFonts w:ascii="Book Antiqua" w:hAnsi="Book Antiqua"/>
          <w:color w:val="000000" w:themeColor="text1"/>
          <w:sz w:val="24"/>
          <w:szCs w:val="24"/>
        </w:rPr>
        <w:t xml:space="preserve"> </w:t>
      </w:r>
      <w:r w:rsidRPr="0095570B">
        <w:rPr>
          <w:rFonts w:ascii="Book Antiqua" w:hAnsi="Book Antiqua"/>
          <w:color w:val="000000" w:themeColor="text1"/>
          <w:sz w:val="24"/>
          <w:szCs w:val="24"/>
        </w:rPr>
        <w:t>22-28.</w:t>
      </w:r>
    </w:p>
    <w:p w14:paraId="7E554CC2" w14:textId="10D23A5D" w:rsidR="0095570B" w:rsidRPr="0095570B" w:rsidRDefault="0095570B" w:rsidP="00B442F5">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Nuzula, N. F., &amp; Nurlaily, F. (2020). Dasar-Dasar Manajemen Investasi. Malang: Universitas</w:t>
      </w:r>
      <w:r w:rsidR="00B442F5">
        <w:rPr>
          <w:rFonts w:ascii="Book Antiqua" w:hAnsi="Book Antiqua"/>
          <w:color w:val="000000" w:themeColor="text1"/>
          <w:sz w:val="24"/>
          <w:szCs w:val="24"/>
        </w:rPr>
        <w:t xml:space="preserve"> </w:t>
      </w:r>
      <w:r w:rsidRPr="0095570B">
        <w:rPr>
          <w:rFonts w:ascii="Book Antiqua" w:hAnsi="Book Antiqua"/>
          <w:color w:val="000000" w:themeColor="text1"/>
          <w:sz w:val="24"/>
          <w:szCs w:val="24"/>
        </w:rPr>
        <w:t>Brawijaya Press.</w:t>
      </w:r>
    </w:p>
    <w:p w14:paraId="180A658C" w14:textId="24422A82" w:rsidR="0095570B" w:rsidRPr="0095570B" w:rsidRDefault="0095570B" w:rsidP="00B442F5">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Sentosa, U. A. (2023, April 11). Inilah Daftar Saham Nikel Indonesia Tahun 2023. https://bmoney.id/blog/saham-nikel-121318</w:t>
      </w:r>
    </w:p>
    <w:p w14:paraId="5F684674" w14:textId="759F39C2" w:rsidR="0095570B" w:rsidRPr="0095570B" w:rsidRDefault="0095570B" w:rsidP="00B442F5">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Tbk, P. A. (2023). Laporan Tahunan. https://antam.com/en/reports/annual-reports</w:t>
      </w:r>
    </w:p>
    <w:p w14:paraId="6E0961AE" w14:textId="3E63BCA3" w:rsidR="00487456" w:rsidRPr="00076885" w:rsidRDefault="0095570B" w:rsidP="0095570B">
      <w:pPr>
        <w:ind w:left="567" w:right="49" w:hanging="567"/>
        <w:jc w:val="both"/>
        <w:rPr>
          <w:rFonts w:ascii="Book Antiqua" w:hAnsi="Book Antiqua"/>
          <w:color w:val="000000" w:themeColor="text1"/>
          <w:sz w:val="24"/>
          <w:szCs w:val="24"/>
        </w:rPr>
      </w:pPr>
      <w:r w:rsidRPr="0095570B">
        <w:rPr>
          <w:rFonts w:ascii="Book Antiqua" w:hAnsi="Book Antiqua"/>
          <w:color w:val="000000" w:themeColor="text1"/>
          <w:sz w:val="24"/>
          <w:szCs w:val="24"/>
        </w:rPr>
        <w:t>Zaimsyah, A. M., Herianingrum, S., &amp; Najiatun. (2019). Analisis Fundamental Terhadap Harga Saham yang Terdaftar di Jakarta Islamic Index Tahun 2010-2017. Jurnal Ilmiah Ekonomi Islam, 5(02), 113-119.</w:t>
      </w:r>
    </w:p>
    <w:sectPr w:rsidR="00487456" w:rsidRPr="00076885" w:rsidSect="00300B2F">
      <w:headerReference w:type="even" r:id="rId12"/>
      <w:headerReference w:type="default" r:id="rId13"/>
      <w:footerReference w:type="even" r:id="rId14"/>
      <w:footerReference w:type="default" r:id="rId15"/>
      <w:headerReference w:type="first" r:id="rId16"/>
      <w:footerReference w:type="first" r:id="rId17"/>
      <w:pgSz w:w="11910" w:h="16840"/>
      <w:pgMar w:top="1701" w:right="980" w:bottom="1701" w:left="980" w:header="142" w:footer="99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A74A" w14:textId="77777777" w:rsidR="00E80D92" w:rsidRDefault="00E80D92">
      <w:r>
        <w:separator/>
      </w:r>
    </w:p>
  </w:endnote>
  <w:endnote w:type="continuationSeparator" w:id="0">
    <w:p w14:paraId="271A3816" w14:textId="77777777" w:rsidR="00E80D92" w:rsidRDefault="00E8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3711729"/>
      <w:docPartObj>
        <w:docPartGallery w:val="Page Numbers (Bottom of Page)"/>
        <w:docPartUnique/>
      </w:docPartObj>
    </w:sdtPr>
    <w:sdtContent>
      <w:p w14:paraId="4653F92E" w14:textId="19433D28" w:rsidR="00C27A88" w:rsidRDefault="00C27A88" w:rsidP="00835E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8A1BCCC" w14:textId="00264FC6" w:rsidR="00B4741A" w:rsidRDefault="00960BB5" w:rsidP="00C27A88">
    <w:pPr>
      <w:pStyle w:val="Footer"/>
      <w:ind w:right="360"/>
    </w:pPr>
    <w:r>
      <w:rPr>
        <w:noProof/>
      </w:rPr>
      <mc:AlternateContent>
        <mc:Choice Requires="wps">
          <w:drawing>
            <wp:anchor distT="0" distB="0" distL="114300" distR="114300" simplePos="0" relativeHeight="251695616" behindDoc="1" locked="0" layoutInCell="1" allowOverlap="1" wp14:anchorId="2FBECC2D" wp14:editId="2036FC1F">
              <wp:simplePos x="0" y="0"/>
              <wp:positionH relativeFrom="page">
                <wp:posOffset>1507744</wp:posOffset>
              </wp:positionH>
              <wp:positionV relativeFrom="page">
                <wp:posOffset>9952355</wp:posOffset>
              </wp:positionV>
              <wp:extent cx="4712362" cy="405130"/>
              <wp:effectExtent l="12700" t="12700" r="12065" b="13970"/>
              <wp:wrapNone/>
              <wp:docPr id="1726779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62" cy="405130"/>
                      </a:xfrm>
                      <a:prstGeom prst="rect">
                        <a:avLst/>
                      </a:prstGeom>
                      <a:ln>
                        <a:solidFill>
                          <a:schemeClr val="accent2"/>
                        </a:solidFill>
                      </a:ln>
                    </wps:spPr>
                    <wps:style>
                      <a:lnRef idx="2">
                        <a:schemeClr val="accent1"/>
                      </a:lnRef>
                      <a:fillRef idx="1">
                        <a:schemeClr val="lt1"/>
                      </a:fillRef>
                      <a:effectRef idx="0">
                        <a:schemeClr val="accent1"/>
                      </a:effectRef>
                      <a:fontRef idx="minor">
                        <a:schemeClr val="dk1"/>
                      </a:fontRef>
                    </wps:style>
                    <wps:txbx>
                      <w:txbxContent>
                        <w:p w14:paraId="3C744F81" w14:textId="444CE03B" w:rsidR="00BE285B" w:rsidRPr="00BE285B" w:rsidRDefault="00BE285B" w:rsidP="00BE285B">
                          <w:pPr>
                            <w:pStyle w:val="NormalWeb"/>
                            <w:spacing w:before="0" w:beforeAutospacing="0" w:after="0" w:afterAutospacing="0"/>
                            <w:jc w:val="center"/>
                            <w:rPr>
                              <w:rFonts w:ascii="Book Antiqua" w:hAnsi="Book Antiqua" w:cs="Noto Serif"/>
                              <w:sz w:val="16"/>
                              <w:szCs w:val="16"/>
                              <w:lang w:val="en-US"/>
                            </w:rPr>
                          </w:pPr>
                          <w:r>
                            <w:rPr>
                              <w:rStyle w:val="Strong"/>
                              <w:rFonts w:ascii="Book Antiqua" w:hAnsi="Book Antiqua" w:cs="Noto Serif"/>
                              <w:sz w:val="16"/>
                              <w:szCs w:val="16"/>
                            </w:rPr>
                            <w:t>Publisher</w:t>
                          </w:r>
                          <w:r w:rsidR="00932406">
                            <w:rPr>
                              <w:rStyle w:val="Strong"/>
                              <w:rFonts w:ascii="Book Antiqua" w:hAnsi="Book Antiqua" w:cs="Noto Serif"/>
                              <w:sz w:val="16"/>
                              <w:szCs w:val="16"/>
                              <w:lang w:val="en-US"/>
                            </w:rPr>
                            <w:t xml:space="preserve">: </w:t>
                          </w:r>
                          <w:r>
                            <w:rPr>
                              <w:rStyle w:val="Strong"/>
                              <w:rFonts w:ascii="Book Antiqua" w:hAnsi="Book Antiqua" w:cs="Noto Serif"/>
                              <w:sz w:val="16"/>
                              <w:szCs w:val="16"/>
                              <w:lang w:val="en-US"/>
                            </w:rPr>
                            <w:t>Universitas Terbuka</w:t>
                          </w:r>
                        </w:p>
                        <w:p w14:paraId="551AD364"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Jl. Cabe Raya, Pondok Cabe, Pamulang, Tangerang Selatan, 15418</w:t>
                          </w:r>
                        </w:p>
                        <w:p w14:paraId="012C80C5"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Telp : 021 – 7490941 ext. 2101</w:t>
                          </w:r>
                        </w:p>
                        <w:p w14:paraId="47E7C321" w14:textId="77777777" w:rsidR="00960BB5" w:rsidRPr="00960BB5" w:rsidRDefault="00960BB5" w:rsidP="00960BB5">
                          <w:pPr>
                            <w:pStyle w:val="BodyText"/>
                            <w:ind w:left="0"/>
                            <w:jc w:val="center"/>
                            <w:rPr>
                              <w:rFonts w:ascii="Book Antiqua" w:hAnsi="Book Antiqua"/>
                              <w:sz w:val="16"/>
                              <w:szCs w:val="16"/>
                              <w:lang w:val="id-ID"/>
                            </w:rPr>
                          </w:pPr>
                        </w:p>
                        <w:p w14:paraId="2135A3BB" w14:textId="77777777" w:rsidR="00960BB5" w:rsidRPr="00960BB5" w:rsidRDefault="00960BB5" w:rsidP="00960BB5">
                          <w:pPr>
                            <w:jc w:val="center"/>
                            <w:rPr>
                              <w:rFonts w:ascii="Book Antiqua" w:hAnsi="Book Antiqua"/>
                              <w:i/>
                              <w:iCs/>
                              <w:sz w:val="16"/>
                              <w:szCs w:val="16"/>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ECC2D" id="_x0000_t202" coordsize="21600,21600" o:spt="202" path="m,l,21600r21600,l21600,xe">
              <v:stroke joinstyle="miter"/>
              <v:path gradientshapeok="t" o:connecttype="rect"/>
            </v:shapetype>
            <v:shape id="Text Box 2" o:spid="_x0000_s1026" type="#_x0000_t202" style="position:absolute;margin-left:118.7pt;margin-top:783.65pt;width:371.05pt;height:31.9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" fillcolor="white [3201]" strokecolor="#c0504d [3205]" strokeweight="2pt">
              <v:textbox inset="0,0,0,0">
                <w:txbxContent>
                  <w:p w14:paraId="3C744F81" w14:textId="444CE03B" w:rsidR="00BE285B" w:rsidRPr="00BE285B" w:rsidRDefault="00BE285B" w:rsidP="00BE285B">
                    <w:pPr>
                      <w:pStyle w:val="NormalWeb"/>
                      <w:spacing w:before="0" w:beforeAutospacing="0" w:after="0" w:afterAutospacing="0"/>
                      <w:jc w:val="center"/>
                      <w:rPr>
                        <w:rFonts w:ascii="Book Antiqua" w:hAnsi="Book Antiqua" w:cs="Noto Serif"/>
                        <w:sz w:val="16"/>
                        <w:szCs w:val="16"/>
                        <w:lang w:val="en-US"/>
                      </w:rPr>
                    </w:pPr>
                    <w:r>
                      <w:rPr>
                        <w:rStyle w:val="Strong"/>
                        <w:rFonts w:ascii="Book Antiqua" w:hAnsi="Book Antiqua" w:cs="Noto Serif"/>
                        <w:sz w:val="16"/>
                        <w:szCs w:val="16"/>
                      </w:rPr>
                      <w:t>Publisher</w:t>
                    </w:r>
                    <w:r w:rsidR="00932406">
                      <w:rPr>
                        <w:rStyle w:val="Strong"/>
                        <w:rFonts w:ascii="Book Antiqua" w:hAnsi="Book Antiqua" w:cs="Noto Serif"/>
                        <w:sz w:val="16"/>
                        <w:szCs w:val="16"/>
                        <w:lang w:val="en-US"/>
                      </w:rPr>
                      <w:t xml:space="preserve">: </w:t>
                    </w:r>
                    <w:r>
                      <w:rPr>
                        <w:rStyle w:val="Strong"/>
                        <w:rFonts w:ascii="Book Antiqua" w:hAnsi="Book Antiqua" w:cs="Noto Serif"/>
                        <w:sz w:val="16"/>
                        <w:szCs w:val="16"/>
                        <w:lang w:val="en-US"/>
                      </w:rPr>
                      <w:t>Universitas Terbuka</w:t>
                    </w:r>
                  </w:p>
                  <w:p w14:paraId="551AD364"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 xml:space="preserve">Jl. </w:t>
                    </w:r>
                    <w:proofErr w:type="spellStart"/>
                    <w:r w:rsidRPr="00BE285B">
                      <w:rPr>
                        <w:rFonts w:ascii="Book Antiqua" w:hAnsi="Book Antiqua" w:cs="Noto Serif"/>
                        <w:sz w:val="16"/>
                        <w:szCs w:val="16"/>
                        <w:lang w:val="id-ID" w:eastAsia="id-ID"/>
                      </w:rPr>
                      <w:t>Cabe</w:t>
                    </w:r>
                    <w:proofErr w:type="spellEnd"/>
                    <w:r w:rsidRPr="00BE285B">
                      <w:rPr>
                        <w:rFonts w:ascii="Book Antiqua" w:hAnsi="Book Antiqua" w:cs="Noto Serif"/>
                        <w:sz w:val="16"/>
                        <w:szCs w:val="16"/>
                        <w:lang w:val="id-ID" w:eastAsia="id-ID"/>
                      </w:rPr>
                      <w:t xml:space="preserve"> Raya, Pondok </w:t>
                    </w:r>
                    <w:proofErr w:type="spellStart"/>
                    <w:r w:rsidRPr="00BE285B">
                      <w:rPr>
                        <w:rFonts w:ascii="Book Antiqua" w:hAnsi="Book Antiqua" w:cs="Noto Serif"/>
                        <w:sz w:val="16"/>
                        <w:szCs w:val="16"/>
                        <w:lang w:val="id-ID" w:eastAsia="id-ID"/>
                      </w:rPr>
                      <w:t>Cabe</w:t>
                    </w:r>
                    <w:proofErr w:type="spellEnd"/>
                    <w:r w:rsidRPr="00BE285B">
                      <w:rPr>
                        <w:rFonts w:ascii="Book Antiqua" w:hAnsi="Book Antiqua" w:cs="Noto Serif"/>
                        <w:sz w:val="16"/>
                        <w:szCs w:val="16"/>
                        <w:lang w:val="id-ID" w:eastAsia="id-ID"/>
                      </w:rPr>
                      <w:t>, Pamulang, Tangerang Selatan, 15418</w:t>
                    </w:r>
                  </w:p>
                  <w:p w14:paraId="012C80C5" w14:textId="77777777" w:rsidR="00BE285B" w:rsidRPr="00BE285B" w:rsidRDefault="00BE285B" w:rsidP="00BE285B">
                    <w:pPr>
                      <w:pStyle w:val="BodyText"/>
                      <w:jc w:val="center"/>
                      <w:rPr>
                        <w:rFonts w:ascii="Book Antiqua" w:hAnsi="Book Antiqua" w:cs="Noto Serif"/>
                        <w:sz w:val="16"/>
                        <w:szCs w:val="16"/>
                        <w:lang w:val="id-ID" w:eastAsia="id-ID"/>
                      </w:rPr>
                    </w:pPr>
                    <w:proofErr w:type="spellStart"/>
                    <w:r w:rsidRPr="00BE285B">
                      <w:rPr>
                        <w:rFonts w:ascii="Book Antiqua" w:hAnsi="Book Antiqua" w:cs="Noto Serif"/>
                        <w:sz w:val="16"/>
                        <w:szCs w:val="16"/>
                        <w:lang w:val="id-ID" w:eastAsia="id-ID"/>
                      </w:rPr>
                      <w:t>Telp</w:t>
                    </w:r>
                    <w:proofErr w:type="spellEnd"/>
                    <w:r w:rsidRPr="00BE285B">
                      <w:rPr>
                        <w:rFonts w:ascii="Book Antiqua" w:hAnsi="Book Antiqua" w:cs="Noto Serif"/>
                        <w:sz w:val="16"/>
                        <w:szCs w:val="16"/>
                        <w:lang w:val="id-ID" w:eastAsia="id-ID"/>
                      </w:rPr>
                      <w:t xml:space="preserve"> : 021 – 7490941 ext. 2101</w:t>
                    </w:r>
                  </w:p>
                  <w:p w14:paraId="47E7C321" w14:textId="77777777" w:rsidR="00960BB5" w:rsidRPr="00960BB5" w:rsidRDefault="00960BB5" w:rsidP="00960BB5">
                    <w:pPr>
                      <w:pStyle w:val="BodyText"/>
                      <w:ind w:left="0"/>
                      <w:jc w:val="center"/>
                      <w:rPr>
                        <w:rFonts w:ascii="Book Antiqua" w:hAnsi="Book Antiqua"/>
                        <w:sz w:val="16"/>
                        <w:szCs w:val="16"/>
                        <w:lang w:val="id-ID"/>
                      </w:rPr>
                    </w:pPr>
                  </w:p>
                  <w:p w14:paraId="2135A3BB" w14:textId="77777777" w:rsidR="00960BB5" w:rsidRPr="00960BB5" w:rsidRDefault="00960BB5" w:rsidP="00960BB5">
                    <w:pPr>
                      <w:jc w:val="center"/>
                      <w:rPr>
                        <w:rFonts w:ascii="Book Antiqua" w:hAnsi="Book Antiqua"/>
                        <w:i/>
                        <w:iCs/>
                        <w:sz w:val="16"/>
                        <w:szCs w:val="16"/>
                        <w:lang w:val="it-IT"/>
                      </w:rPr>
                    </w:pPr>
                  </w:p>
                </w:txbxContent>
              </v:textbox>
              <w10:wrap anchorx="page" anchory="page"/>
            </v:shape>
          </w:pict>
        </mc:Fallback>
      </mc:AlternateContent>
    </w:r>
    <w:sdt>
      <w:sdtPr>
        <w:id w:val="-1455938821"/>
        <w:docPartObj>
          <w:docPartGallery w:val="Page Numbers (Bottom of Page)"/>
          <w:docPartUnique/>
        </w:docPartObj>
      </w:sdt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3992394"/>
      <w:docPartObj>
        <w:docPartGallery w:val="Page Numbers (Bottom of Page)"/>
        <w:docPartUnique/>
      </w:docPartObj>
    </w:sdtPr>
    <w:sdtContent>
      <w:p w14:paraId="438DF229" w14:textId="76B4FB3D" w:rsidR="00C27A88" w:rsidRDefault="00C27A88" w:rsidP="00835E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4BA4828" w14:textId="119FE061" w:rsidR="00487456" w:rsidRDefault="00960BB5" w:rsidP="00C27A88">
    <w:pPr>
      <w:pStyle w:val="BodyText"/>
      <w:spacing w:line="14" w:lineRule="auto"/>
      <w:ind w:left="0" w:right="360"/>
      <w:jc w:val="left"/>
      <w:rPr>
        <w:sz w:val="20"/>
      </w:rPr>
    </w:pPr>
    <w:r>
      <w:rPr>
        <w:noProof/>
      </w:rPr>
      <mc:AlternateContent>
        <mc:Choice Requires="wps">
          <w:drawing>
            <wp:anchor distT="0" distB="0" distL="114300" distR="114300" simplePos="0" relativeHeight="251666432" behindDoc="1" locked="0" layoutInCell="1" allowOverlap="1" wp14:anchorId="22419EC5" wp14:editId="13EE753B">
              <wp:simplePos x="0" y="0"/>
              <wp:positionH relativeFrom="page">
                <wp:posOffset>1210310</wp:posOffset>
              </wp:positionH>
              <wp:positionV relativeFrom="page">
                <wp:posOffset>9982835</wp:posOffset>
              </wp:positionV>
              <wp:extent cx="4712362" cy="405130"/>
              <wp:effectExtent l="12700" t="12700" r="1206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62" cy="405130"/>
                      </a:xfrm>
                      <a:prstGeom prst="rect">
                        <a:avLst/>
                      </a:prstGeom>
                      <a:ln>
                        <a:solidFill>
                          <a:schemeClr val="accent2"/>
                        </a:solidFill>
                      </a:ln>
                    </wps:spPr>
                    <wps:style>
                      <a:lnRef idx="2">
                        <a:schemeClr val="accent1"/>
                      </a:lnRef>
                      <a:fillRef idx="1">
                        <a:schemeClr val="lt1"/>
                      </a:fillRef>
                      <a:effectRef idx="0">
                        <a:schemeClr val="accent1"/>
                      </a:effectRef>
                      <a:fontRef idx="minor">
                        <a:schemeClr val="dk1"/>
                      </a:fontRef>
                    </wps:style>
                    <wps:txbx>
                      <w:txbxContent>
                        <w:p w14:paraId="1F76BA83" w14:textId="172AF736" w:rsidR="00960BB5" w:rsidRPr="00BE285B" w:rsidRDefault="00960BB5" w:rsidP="00960BB5">
                          <w:pPr>
                            <w:pStyle w:val="NormalWeb"/>
                            <w:spacing w:before="0" w:beforeAutospacing="0" w:after="0" w:afterAutospacing="0"/>
                            <w:jc w:val="center"/>
                            <w:rPr>
                              <w:rFonts w:ascii="Book Antiqua" w:hAnsi="Book Antiqua" w:cs="Noto Serif"/>
                              <w:sz w:val="16"/>
                              <w:szCs w:val="16"/>
                              <w:lang w:val="en-US"/>
                            </w:rPr>
                          </w:pPr>
                          <w:r>
                            <w:rPr>
                              <w:rStyle w:val="Strong"/>
                              <w:rFonts w:ascii="Book Antiqua" w:hAnsi="Book Antiqua" w:cs="Noto Serif"/>
                              <w:sz w:val="16"/>
                              <w:szCs w:val="16"/>
                            </w:rPr>
                            <w:t>Publisher:</w:t>
                          </w:r>
                          <w:r w:rsidR="00932406">
                            <w:rPr>
                              <w:rStyle w:val="Strong"/>
                              <w:rFonts w:ascii="Book Antiqua" w:hAnsi="Book Antiqua" w:cs="Noto Serif"/>
                              <w:sz w:val="16"/>
                              <w:szCs w:val="16"/>
                              <w:lang w:val="en-US"/>
                            </w:rPr>
                            <w:t xml:space="preserve"> </w:t>
                          </w:r>
                          <w:r w:rsidR="00BE285B">
                            <w:rPr>
                              <w:rStyle w:val="Strong"/>
                              <w:rFonts w:ascii="Book Antiqua" w:hAnsi="Book Antiqua" w:cs="Noto Serif"/>
                              <w:sz w:val="16"/>
                              <w:szCs w:val="16"/>
                              <w:lang w:val="en-US"/>
                            </w:rPr>
                            <w:t>Universitas Terbuka</w:t>
                          </w:r>
                        </w:p>
                        <w:p w14:paraId="4838F0B8"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Jl. Cabe Raya, Pondok Cabe, Pamulang, Tangerang Selatan, 15418</w:t>
                          </w:r>
                        </w:p>
                        <w:p w14:paraId="4B77A380"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Telp : 021 – 7490941 ext. 2101</w:t>
                          </w:r>
                        </w:p>
                        <w:p w14:paraId="28949827" w14:textId="47C84B7A" w:rsidR="00B034DD" w:rsidRPr="00960BB5" w:rsidRDefault="00BE285B" w:rsidP="00BE285B">
                          <w:pPr>
                            <w:pStyle w:val="BodyText"/>
                            <w:ind w:left="0"/>
                            <w:jc w:val="center"/>
                            <w:rPr>
                              <w:rFonts w:ascii="Book Antiqua" w:hAnsi="Book Antiqua"/>
                              <w:sz w:val="16"/>
                              <w:szCs w:val="16"/>
                              <w:lang w:val="id-ID"/>
                            </w:rPr>
                          </w:pPr>
                          <w:r w:rsidRPr="00BE285B">
                            <w:rPr>
                              <w:rFonts w:ascii="Book Antiqua" w:hAnsi="Book Antiqua" w:cs="Noto Serif"/>
                              <w:sz w:val="16"/>
                              <w:szCs w:val="16"/>
                              <w:lang w:val="id-ID" w:eastAsia="id-ID"/>
                            </w:rPr>
                            <w:t>Fax : 021 – 7434491</w:t>
                          </w:r>
                        </w:p>
                        <w:p w14:paraId="055D2DBD" w14:textId="77777777" w:rsidR="00B034DD" w:rsidRPr="00960BB5" w:rsidRDefault="00B034DD" w:rsidP="00960BB5">
                          <w:pPr>
                            <w:jc w:val="center"/>
                            <w:rPr>
                              <w:rFonts w:ascii="Book Antiqua" w:hAnsi="Book Antiqua"/>
                              <w:i/>
                              <w:iCs/>
                              <w:sz w:val="16"/>
                              <w:szCs w:val="16"/>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19EC5" id="_x0000_t202" coordsize="21600,21600" o:spt="202" path="m,l,21600r21600,l21600,xe">
              <v:stroke joinstyle="miter"/>
              <v:path gradientshapeok="t" o:connecttype="rect"/>
            </v:shapetype>
            <v:shape id="_x0000_s1027" type="#_x0000_t202" style="position:absolute;margin-left:95.3pt;margin-top:786.05pt;width:371.05pt;height:3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" fillcolor="white [3201]" strokecolor="#c0504d [3205]" strokeweight="2pt">
              <v:textbox inset="0,0,0,0">
                <w:txbxContent>
                  <w:p w14:paraId="1F76BA83" w14:textId="172AF736" w:rsidR="00960BB5" w:rsidRPr="00BE285B" w:rsidRDefault="00960BB5" w:rsidP="00960BB5">
                    <w:pPr>
                      <w:pStyle w:val="NormalWeb"/>
                      <w:spacing w:before="0" w:beforeAutospacing="0" w:after="0" w:afterAutospacing="0"/>
                      <w:jc w:val="center"/>
                      <w:rPr>
                        <w:rFonts w:ascii="Book Antiqua" w:hAnsi="Book Antiqua" w:cs="Noto Serif"/>
                        <w:sz w:val="16"/>
                        <w:szCs w:val="16"/>
                        <w:lang w:val="en-US"/>
                      </w:rPr>
                    </w:pPr>
                    <w:r>
                      <w:rPr>
                        <w:rStyle w:val="Strong"/>
                        <w:rFonts w:ascii="Book Antiqua" w:hAnsi="Book Antiqua" w:cs="Noto Serif"/>
                        <w:sz w:val="16"/>
                        <w:szCs w:val="16"/>
                      </w:rPr>
                      <w:t>Publisher:</w:t>
                    </w:r>
                    <w:r w:rsidR="00932406">
                      <w:rPr>
                        <w:rStyle w:val="Strong"/>
                        <w:rFonts w:ascii="Book Antiqua" w:hAnsi="Book Antiqua" w:cs="Noto Serif"/>
                        <w:sz w:val="16"/>
                        <w:szCs w:val="16"/>
                        <w:lang w:val="en-US"/>
                      </w:rPr>
                      <w:t xml:space="preserve"> </w:t>
                    </w:r>
                    <w:r w:rsidR="00BE285B">
                      <w:rPr>
                        <w:rStyle w:val="Strong"/>
                        <w:rFonts w:ascii="Book Antiqua" w:hAnsi="Book Antiqua" w:cs="Noto Serif"/>
                        <w:sz w:val="16"/>
                        <w:szCs w:val="16"/>
                        <w:lang w:val="en-US"/>
                      </w:rPr>
                      <w:t>Universitas Terbuka</w:t>
                    </w:r>
                  </w:p>
                  <w:p w14:paraId="4838F0B8" w14:textId="77777777" w:rsidR="00BE285B" w:rsidRPr="00BE285B" w:rsidRDefault="00BE285B" w:rsidP="00BE285B">
                    <w:pPr>
                      <w:pStyle w:val="BodyText"/>
                      <w:jc w:val="center"/>
                      <w:rPr>
                        <w:rFonts w:ascii="Book Antiqua" w:hAnsi="Book Antiqua" w:cs="Noto Serif"/>
                        <w:sz w:val="16"/>
                        <w:szCs w:val="16"/>
                        <w:lang w:val="id-ID" w:eastAsia="id-ID"/>
                      </w:rPr>
                    </w:pPr>
                    <w:r w:rsidRPr="00BE285B">
                      <w:rPr>
                        <w:rFonts w:ascii="Book Antiqua" w:hAnsi="Book Antiqua" w:cs="Noto Serif"/>
                        <w:sz w:val="16"/>
                        <w:szCs w:val="16"/>
                        <w:lang w:val="id-ID" w:eastAsia="id-ID"/>
                      </w:rPr>
                      <w:t xml:space="preserve">Jl. </w:t>
                    </w:r>
                    <w:proofErr w:type="spellStart"/>
                    <w:r w:rsidRPr="00BE285B">
                      <w:rPr>
                        <w:rFonts w:ascii="Book Antiqua" w:hAnsi="Book Antiqua" w:cs="Noto Serif"/>
                        <w:sz w:val="16"/>
                        <w:szCs w:val="16"/>
                        <w:lang w:val="id-ID" w:eastAsia="id-ID"/>
                      </w:rPr>
                      <w:t>Cabe</w:t>
                    </w:r>
                    <w:proofErr w:type="spellEnd"/>
                    <w:r w:rsidRPr="00BE285B">
                      <w:rPr>
                        <w:rFonts w:ascii="Book Antiqua" w:hAnsi="Book Antiqua" w:cs="Noto Serif"/>
                        <w:sz w:val="16"/>
                        <w:szCs w:val="16"/>
                        <w:lang w:val="id-ID" w:eastAsia="id-ID"/>
                      </w:rPr>
                      <w:t xml:space="preserve"> Raya, Pondok </w:t>
                    </w:r>
                    <w:proofErr w:type="spellStart"/>
                    <w:r w:rsidRPr="00BE285B">
                      <w:rPr>
                        <w:rFonts w:ascii="Book Antiqua" w:hAnsi="Book Antiqua" w:cs="Noto Serif"/>
                        <w:sz w:val="16"/>
                        <w:szCs w:val="16"/>
                        <w:lang w:val="id-ID" w:eastAsia="id-ID"/>
                      </w:rPr>
                      <w:t>Cabe</w:t>
                    </w:r>
                    <w:proofErr w:type="spellEnd"/>
                    <w:r w:rsidRPr="00BE285B">
                      <w:rPr>
                        <w:rFonts w:ascii="Book Antiqua" w:hAnsi="Book Antiqua" w:cs="Noto Serif"/>
                        <w:sz w:val="16"/>
                        <w:szCs w:val="16"/>
                        <w:lang w:val="id-ID" w:eastAsia="id-ID"/>
                      </w:rPr>
                      <w:t>, Pamulang, Tangerang Selatan, 15418</w:t>
                    </w:r>
                  </w:p>
                  <w:p w14:paraId="4B77A380" w14:textId="77777777" w:rsidR="00BE285B" w:rsidRPr="00BE285B" w:rsidRDefault="00BE285B" w:rsidP="00BE285B">
                    <w:pPr>
                      <w:pStyle w:val="BodyText"/>
                      <w:jc w:val="center"/>
                      <w:rPr>
                        <w:rFonts w:ascii="Book Antiqua" w:hAnsi="Book Antiqua" w:cs="Noto Serif"/>
                        <w:sz w:val="16"/>
                        <w:szCs w:val="16"/>
                        <w:lang w:val="id-ID" w:eastAsia="id-ID"/>
                      </w:rPr>
                    </w:pPr>
                    <w:proofErr w:type="spellStart"/>
                    <w:r w:rsidRPr="00BE285B">
                      <w:rPr>
                        <w:rFonts w:ascii="Book Antiqua" w:hAnsi="Book Antiqua" w:cs="Noto Serif"/>
                        <w:sz w:val="16"/>
                        <w:szCs w:val="16"/>
                        <w:lang w:val="id-ID" w:eastAsia="id-ID"/>
                      </w:rPr>
                      <w:t>Telp</w:t>
                    </w:r>
                    <w:proofErr w:type="spellEnd"/>
                    <w:r w:rsidRPr="00BE285B">
                      <w:rPr>
                        <w:rFonts w:ascii="Book Antiqua" w:hAnsi="Book Antiqua" w:cs="Noto Serif"/>
                        <w:sz w:val="16"/>
                        <w:szCs w:val="16"/>
                        <w:lang w:val="id-ID" w:eastAsia="id-ID"/>
                      </w:rPr>
                      <w:t xml:space="preserve"> : 021 – 7490941 ext. 2101</w:t>
                    </w:r>
                  </w:p>
                  <w:p w14:paraId="28949827" w14:textId="47C84B7A" w:rsidR="00B034DD" w:rsidRPr="00960BB5" w:rsidRDefault="00BE285B" w:rsidP="00BE285B">
                    <w:pPr>
                      <w:pStyle w:val="BodyText"/>
                      <w:ind w:left="0"/>
                      <w:jc w:val="center"/>
                      <w:rPr>
                        <w:rFonts w:ascii="Book Antiqua" w:hAnsi="Book Antiqua"/>
                        <w:sz w:val="16"/>
                        <w:szCs w:val="16"/>
                        <w:lang w:val="id-ID"/>
                      </w:rPr>
                    </w:pPr>
                    <w:proofErr w:type="spellStart"/>
                    <w:r w:rsidRPr="00BE285B">
                      <w:rPr>
                        <w:rFonts w:ascii="Book Antiqua" w:hAnsi="Book Antiqua" w:cs="Noto Serif"/>
                        <w:sz w:val="16"/>
                        <w:szCs w:val="16"/>
                        <w:lang w:val="id-ID" w:eastAsia="id-ID"/>
                      </w:rPr>
                      <w:t>Fax</w:t>
                    </w:r>
                    <w:proofErr w:type="spellEnd"/>
                    <w:r w:rsidRPr="00BE285B">
                      <w:rPr>
                        <w:rFonts w:ascii="Book Antiqua" w:hAnsi="Book Antiqua" w:cs="Noto Serif"/>
                        <w:sz w:val="16"/>
                        <w:szCs w:val="16"/>
                        <w:lang w:val="id-ID" w:eastAsia="id-ID"/>
                      </w:rPr>
                      <w:t xml:space="preserve"> : 021 – 7434491</w:t>
                    </w:r>
                  </w:p>
                  <w:p w14:paraId="055D2DBD" w14:textId="77777777" w:rsidR="00B034DD" w:rsidRPr="00960BB5" w:rsidRDefault="00B034DD" w:rsidP="00960BB5">
                    <w:pPr>
                      <w:jc w:val="center"/>
                      <w:rPr>
                        <w:rFonts w:ascii="Book Antiqua" w:hAnsi="Book Antiqua"/>
                        <w:i/>
                        <w:iCs/>
                        <w:sz w:val="16"/>
                        <w:szCs w:val="16"/>
                        <w:lang w:val="it-IT"/>
                      </w:rPr>
                    </w:pPr>
                  </w:p>
                </w:txbxContent>
              </v:textbox>
              <w10:wrap anchorx="page" anchory="page"/>
            </v:shape>
          </w:pict>
        </mc:Fallback>
      </mc:AlternateContent>
    </w:r>
    <w:sdt>
      <w:sdtPr>
        <w:rPr>
          <w:sz w:val="20"/>
        </w:rPr>
        <w:id w:val="-1373075615"/>
        <w:docPartObj>
          <w:docPartGallery w:val="Page Numbers (Bottom of Page)"/>
          <w:docPartUnique/>
        </w:docPartObj>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043D" w14:textId="77777777" w:rsidR="00B442F5" w:rsidRDefault="00B44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D0F6" w14:textId="77777777" w:rsidR="00E80D92" w:rsidRDefault="00E80D92">
      <w:r>
        <w:separator/>
      </w:r>
    </w:p>
  </w:footnote>
  <w:footnote w:type="continuationSeparator" w:id="0">
    <w:p w14:paraId="46E80F89" w14:textId="77777777" w:rsidR="00E80D92" w:rsidRDefault="00E80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BA35" w14:textId="77777777" w:rsidR="00053493" w:rsidRDefault="00053493" w:rsidP="00053493">
    <w:pPr>
      <w:pStyle w:val="TableParagraph"/>
      <w:jc w:val="right"/>
      <w:rPr>
        <w:sz w:val="20"/>
        <w:lang w:val="id-ID"/>
      </w:rPr>
    </w:pPr>
    <w:r>
      <w:rPr>
        <w:noProof/>
      </w:rPr>
      <w:drawing>
        <wp:anchor distT="0" distB="0" distL="114300" distR="114300" simplePos="0" relativeHeight="251715072" behindDoc="0" locked="0" layoutInCell="1" allowOverlap="1" wp14:anchorId="1B0184DE" wp14:editId="2452FA36">
          <wp:simplePos x="0" y="0"/>
          <wp:positionH relativeFrom="column">
            <wp:posOffset>-472440</wp:posOffset>
          </wp:positionH>
          <wp:positionV relativeFrom="paragraph">
            <wp:posOffset>1905</wp:posOffset>
          </wp:positionV>
          <wp:extent cx="1330960" cy="1330960"/>
          <wp:effectExtent l="0" t="0" r="2540" b="2540"/>
          <wp:wrapThrough wrapText="bothSides">
            <wp:wrapPolygon edited="0">
              <wp:start x="0" y="0"/>
              <wp:lineTo x="0" y="21435"/>
              <wp:lineTo x="21435" y="21435"/>
              <wp:lineTo x="21435" y="0"/>
              <wp:lineTo x="0" y="0"/>
            </wp:wrapPolygon>
          </wp:wrapThrough>
          <wp:docPr id="115502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5158" name="Picture 153055158"/>
                  <pic:cNvPicPr/>
                </pic:nvPicPr>
                <pic:blipFill>
                  <a:blip r:embed="rId1">
                    <a:extLst>
                      <a:ext uri="{28A0092B-C50C-407E-A947-70E740481C1C}">
                        <a14:useLocalDpi xmlns:a14="http://schemas.microsoft.com/office/drawing/2010/main" val="0"/>
                      </a:ext>
                    </a:extLst>
                  </a:blip>
                  <a:stretch>
                    <a:fillRect/>
                  </a:stretch>
                </pic:blipFill>
                <pic:spPr>
                  <a:xfrm>
                    <a:off x="0" y="0"/>
                    <a:ext cx="1330960" cy="1330960"/>
                  </a:xfrm>
                  <a:prstGeom prst="rect">
                    <a:avLst/>
                  </a:prstGeom>
                </pic:spPr>
              </pic:pic>
            </a:graphicData>
          </a:graphic>
          <wp14:sizeRelH relativeFrom="page">
            <wp14:pctWidth>0</wp14:pctWidth>
          </wp14:sizeRelH>
          <wp14:sizeRelV relativeFrom="page">
            <wp14:pctHeight>0</wp14:pctHeight>
          </wp14:sizeRelV>
        </wp:anchor>
      </w:drawing>
    </w:r>
    <w:r>
      <w:rPr>
        <w:sz w:val="20"/>
        <w:lang w:val="id-ID"/>
      </w:rPr>
      <w:t xml:space="preserve">                </w:t>
    </w:r>
  </w:p>
  <w:p w14:paraId="1BE14AF6" w14:textId="2482952F" w:rsidR="00053493" w:rsidRPr="00394A91" w:rsidRDefault="0019544D" w:rsidP="0019544D">
    <w:pPr>
      <w:pStyle w:val="TableParagraph"/>
      <w:jc w:val="right"/>
      <w:rPr>
        <w:sz w:val="20"/>
        <w:lang w:val="id-ID"/>
      </w:rPr>
    </w:pPr>
    <w:r>
      <w:rPr>
        <w:sz w:val="20"/>
        <w:lang w:val="id-ID"/>
      </w:rPr>
      <w:t xml:space="preserve">e-ISSN: </w:t>
    </w:r>
    <w:r w:rsidRPr="0019544D">
      <w:rPr>
        <w:sz w:val="20"/>
        <w:lang w:val="id-ID"/>
      </w:rPr>
      <w:t>3089-8811</w:t>
    </w:r>
    <w:r>
      <w:rPr>
        <w:sz w:val="20"/>
        <w:lang w:val="id-ID"/>
      </w:rPr>
      <w:t xml:space="preserve">  </w:t>
    </w:r>
    <w:r w:rsidR="00053493">
      <w:rPr>
        <w:sz w:val="20"/>
        <w:lang w:val="id-ID"/>
      </w:rPr>
      <w:t xml:space="preserve">  </w:t>
    </w:r>
  </w:p>
  <w:p w14:paraId="2D0592B0" w14:textId="6259CD68" w:rsidR="00053493" w:rsidRDefault="00053493" w:rsidP="00053493">
    <w:pPr>
      <w:pStyle w:val="Header"/>
      <w:jc w:val="right"/>
      <w:rPr>
        <w:b/>
        <w:sz w:val="18"/>
      </w:rPr>
    </w:pPr>
    <w:r>
      <w:rPr>
        <w:b/>
        <w:sz w:val="18"/>
      </w:rPr>
      <w:tab/>
    </w:r>
    <w:r>
      <w:rPr>
        <w:b/>
        <w:sz w:val="18"/>
      </w:rPr>
      <w:tab/>
    </w:r>
    <w:r w:rsidRPr="007109EC">
      <w:rPr>
        <w:b/>
        <w:sz w:val="18"/>
      </w:rPr>
      <w:t>Volume 0</w:t>
    </w:r>
    <w:r w:rsidR="007109EC">
      <w:rPr>
        <w:b/>
        <w:sz w:val="18"/>
      </w:rPr>
      <w:t xml:space="preserve">1 </w:t>
    </w:r>
    <w:r w:rsidRPr="007109EC">
      <w:rPr>
        <w:b/>
        <w:sz w:val="18"/>
      </w:rPr>
      <w:t>Issue 0</w:t>
    </w:r>
    <w:r w:rsidR="007A7A4C">
      <w:rPr>
        <w:b/>
        <w:sz w:val="18"/>
      </w:rPr>
      <w:t>2</w:t>
    </w:r>
    <w:r w:rsidRPr="007109EC">
      <w:rPr>
        <w:b/>
        <w:sz w:val="18"/>
      </w:rPr>
      <w:t xml:space="preserve"> (202</w:t>
    </w:r>
    <w:r w:rsidR="007109EC">
      <w:rPr>
        <w:b/>
        <w:sz w:val="18"/>
      </w:rPr>
      <w:t>5</w:t>
    </w:r>
    <w:r w:rsidRPr="007109EC">
      <w:rPr>
        <w:b/>
        <w:sz w:val="18"/>
      </w:rPr>
      <w:t>)</w:t>
    </w:r>
    <w:r w:rsidRPr="00BE761A">
      <w:rPr>
        <w:b/>
        <w:sz w:val="18"/>
      </w:rPr>
      <w:t xml:space="preserve">                                                                     </w:t>
    </w:r>
    <w:r>
      <w:rPr>
        <w:b/>
        <w:sz w:val="18"/>
      </w:rPr>
      <w:t xml:space="preserve">                                                                          </w:t>
    </w:r>
  </w:p>
  <w:p w14:paraId="2EF2FC00" w14:textId="764AD733" w:rsidR="00053493" w:rsidRPr="00076885" w:rsidRDefault="00932406" w:rsidP="00053493">
    <w:pPr>
      <w:pStyle w:val="Heading2"/>
      <w:spacing w:before="0" w:after="0" w:line="240" w:lineRule="auto"/>
      <w:rPr>
        <w:rFonts w:ascii="Bahnschrift SemiBold" w:hAnsi="Bahnschrift SemiBold"/>
        <w:sz w:val="36"/>
        <w:szCs w:val="36"/>
      </w:rPr>
    </w:pPr>
    <w:r>
      <w:rPr>
        <w:rFonts w:ascii="Bahnschrift SemiBold" w:hAnsi="Bahnschrift SemiBold"/>
        <w:sz w:val="36"/>
        <w:szCs w:val="36"/>
      </w:rPr>
      <w:t xml:space="preserve">CONSISTENCY: </w:t>
    </w:r>
    <w:r w:rsidR="00053493" w:rsidRPr="00076885">
      <w:rPr>
        <w:rFonts w:ascii="Bahnschrift SemiBold" w:hAnsi="Bahnschrift SemiBold"/>
        <w:sz w:val="36"/>
        <w:szCs w:val="36"/>
      </w:rPr>
      <w:t>Journal of Communication and Information</w:t>
    </w:r>
    <w:r>
      <w:rPr>
        <w:rFonts w:ascii="Bahnschrift SemiBold" w:hAnsi="Bahnschrift SemiBold"/>
        <w:sz w:val="36"/>
        <w:szCs w:val="36"/>
      </w:rPr>
      <w:t xml:space="preserve"> </w:t>
    </w:r>
    <w:r w:rsidR="00053493" w:rsidRPr="00076885">
      <w:rPr>
        <w:rFonts w:ascii="Bahnschrift SemiBold" w:hAnsi="Bahnschrift SemiBold"/>
        <w:sz w:val="36"/>
        <w:szCs w:val="36"/>
      </w:rPr>
      <w:t>In Accountancy</w:t>
    </w:r>
  </w:p>
  <w:p w14:paraId="3ABA5FFF" w14:textId="2985A90C" w:rsidR="00053493" w:rsidRDefault="007109EC" w:rsidP="00053493">
    <w:pPr>
      <w:spacing w:before="12" w:line="207" w:lineRule="exact"/>
      <w:rPr>
        <w:b/>
        <w:sz w:val="18"/>
      </w:rPr>
    </w:pPr>
    <w:hyperlink r:id="rId2" w:history="1">
      <w:r w:rsidRPr="00835EF7">
        <w:rPr>
          <w:rStyle w:val="Hyperlink"/>
          <w:b/>
          <w:sz w:val="18"/>
        </w:rPr>
        <w:t>https://jurnal.ut.ac.id/index.php/consistency</w:t>
      </w:r>
    </w:hyperlink>
  </w:p>
  <w:p w14:paraId="17029A08" w14:textId="77777777" w:rsidR="007109EC" w:rsidRPr="00BE761A" w:rsidRDefault="007109EC" w:rsidP="00053493">
    <w:pPr>
      <w:spacing w:before="12" w:line="207" w:lineRule="exact"/>
      <w:rPr>
        <w:b/>
        <w:sz w:val="18"/>
      </w:rPr>
    </w:pPr>
  </w:p>
  <w:p w14:paraId="2226BDA3" w14:textId="6245C0D7" w:rsidR="003335B3" w:rsidRPr="000D53B8" w:rsidRDefault="003335B3" w:rsidP="000D5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3A5B" w14:textId="22EA19A7" w:rsidR="000D53B8" w:rsidRDefault="00053493" w:rsidP="000D53B8">
    <w:pPr>
      <w:pStyle w:val="TableParagraph"/>
      <w:jc w:val="right"/>
      <w:rPr>
        <w:sz w:val="20"/>
        <w:lang w:val="id-ID"/>
      </w:rPr>
    </w:pPr>
    <w:r>
      <w:rPr>
        <w:noProof/>
      </w:rPr>
      <w:drawing>
        <wp:anchor distT="0" distB="0" distL="114300" distR="114300" simplePos="0" relativeHeight="251713024" behindDoc="0" locked="0" layoutInCell="1" allowOverlap="1" wp14:anchorId="09E6CF26" wp14:editId="5D2B02A9">
          <wp:simplePos x="0" y="0"/>
          <wp:positionH relativeFrom="column">
            <wp:posOffset>-472440</wp:posOffset>
          </wp:positionH>
          <wp:positionV relativeFrom="paragraph">
            <wp:posOffset>1905</wp:posOffset>
          </wp:positionV>
          <wp:extent cx="1330960" cy="1330960"/>
          <wp:effectExtent l="0" t="0" r="2540" b="2540"/>
          <wp:wrapThrough wrapText="bothSides">
            <wp:wrapPolygon edited="0">
              <wp:start x="0" y="0"/>
              <wp:lineTo x="0" y="21435"/>
              <wp:lineTo x="21435" y="21435"/>
              <wp:lineTo x="21435" y="0"/>
              <wp:lineTo x="0" y="0"/>
            </wp:wrapPolygon>
          </wp:wrapThrough>
          <wp:docPr id="153055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5158" name="Picture 153055158"/>
                  <pic:cNvPicPr/>
                </pic:nvPicPr>
                <pic:blipFill>
                  <a:blip r:embed="rId1">
                    <a:extLst>
                      <a:ext uri="{28A0092B-C50C-407E-A947-70E740481C1C}">
                        <a14:useLocalDpi xmlns:a14="http://schemas.microsoft.com/office/drawing/2010/main" val="0"/>
                      </a:ext>
                    </a:extLst>
                  </a:blip>
                  <a:stretch>
                    <a:fillRect/>
                  </a:stretch>
                </pic:blipFill>
                <pic:spPr>
                  <a:xfrm>
                    <a:off x="0" y="0"/>
                    <a:ext cx="1330960" cy="1330960"/>
                  </a:xfrm>
                  <a:prstGeom prst="rect">
                    <a:avLst/>
                  </a:prstGeom>
                </pic:spPr>
              </pic:pic>
            </a:graphicData>
          </a:graphic>
          <wp14:sizeRelH relativeFrom="page">
            <wp14:pctWidth>0</wp14:pctWidth>
          </wp14:sizeRelH>
          <wp14:sizeRelV relativeFrom="page">
            <wp14:pctHeight>0</wp14:pctHeight>
          </wp14:sizeRelV>
        </wp:anchor>
      </w:drawing>
    </w:r>
    <w:r w:rsidR="000D53B8">
      <w:rPr>
        <w:sz w:val="20"/>
        <w:lang w:val="id-ID"/>
      </w:rPr>
      <w:t xml:space="preserve">                </w:t>
    </w:r>
  </w:p>
  <w:p w14:paraId="601791E4" w14:textId="63AAC48D" w:rsidR="000D53B8" w:rsidRPr="00394A91" w:rsidRDefault="0019544D" w:rsidP="000D53B8">
    <w:pPr>
      <w:pStyle w:val="TableParagraph"/>
      <w:jc w:val="right"/>
      <w:rPr>
        <w:sz w:val="20"/>
        <w:lang w:val="id-ID"/>
      </w:rPr>
    </w:pPr>
    <w:r>
      <w:rPr>
        <w:sz w:val="20"/>
        <w:lang w:val="id-ID"/>
      </w:rPr>
      <w:t xml:space="preserve">e-ISSN: </w:t>
    </w:r>
    <w:r w:rsidRPr="0019544D">
      <w:rPr>
        <w:sz w:val="20"/>
        <w:lang w:val="id-ID"/>
      </w:rPr>
      <w:t>3089-8811</w:t>
    </w:r>
    <w:r w:rsidR="000D53B8">
      <w:rPr>
        <w:sz w:val="20"/>
        <w:lang w:val="id-ID"/>
      </w:rPr>
      <w:t xml:space="preserve">  </w:t>
    </w:r>
  </w:p>
  <w:p w14:paraId="662A3EB2" w14:textId="7CBE6F96" w:rsidR="000D53B8" w:rsidRDefault="000D53B8" w:rsidP="000D53B8">
    <w:pPr>
      <w:pStyle w:val="Header"/>
      <w:jc w:val="right"/>
      <w:rPr>
        <w:b/>
        <w:sz w:val="18"/>
      </w:rPr>
    </w:pPr>
    <w:r>
      <w:rPr>
        <w:b/>
        <w:sz w:val="18"/>
      </w:rPr>
      <w:tab/>
    </w:r>
    <w:r>
      <w:rPr>
        <w:b/>
        <w:sz w:val="18"/>
      </w:rPr>
      <w:tab/>
    </w:r>
    <w:r w:rsidR="00076885" w:rsidRPr="00242282">
      <w:rPr>
        <w:b/>
        <w:sz w:val="18"/>
      </w:rPr>
      <w:t>Volume 0</w:t>
    </w:r>
    <w:r w:rsidR="00242282" w:rsidRPr="00242282">
      <w:rPr>
        <w:b/>
        <w:sz w:val="18"/>
      </w:rPr>
      <w:t xml:space="preserve">1 </w:t>
    </w:r>
    <w:r w:rsidR="00076885" w:rsidRPr="00242282">
      <w:rPr>
        <w:b/>
        <w:sz w:val="18"/>
      </w:rPr>
      <w:t>Issue 0</w:t>
    </w:r>
    <w:r w:rsidR="00B442F5">
      <w:rPr>
        <w:b/>
        <w:sz w:val="18"/>
      </w:rPr>
      <w:t>2</w:t>
    </w:r>
    <w:r w:rsidR="00076885" w:rsidRPr="00242282">
      <w:rPr>
        <w:b/>
        <w:sz w:val="18"/>
      </w:rPr>
      <w:t xml:space="preserve"> (202</w:t>
    </w:r>
    <w:r w:rsidR="00242282" w:rsidRPr="00242282">
      <w:rPr>
        <w:b/>
        <w:sz w:val="18"/>
      </w:rPr>
      <w:t>5)</w:t>
    </w:r>
    <w:r w:rsidRPr="00BE761A">
      <w:rPr>
        <w:b/>
        <w:sz w:val="18"/>
      </w:rPr>
      <w:t xml:space="preserve">                                                                     </w:t>
    </w:r>
    <w:r>
      <w:rPr>
        <w:b/>
        <w:sz w:val="18"/>
      </w:rPr>
      <w:t xml:space="preserve">                                                                          </w:t>
    </w:r>
  </w:p>
  <w:p w14:paraId="33133990" w14:textId="05466863" w:rsidR="000D53B8" w:rsidRPr="00076885" w:rsidRDefault="00932406" w:rsidP="00053493">
    <w:pPr>
      <w:pStyle w:val="Heading2"/>
      <w:spacing w:before="0" w:after="0" w:line="240" w:lineRule="auto"/>
      <w:rPr>
        <w:rFonts w:ascii="Bahnschrift SemiBold" w:hAnsi="Bahnschrift SemiBold"/>
        <w:sz w:val="36"/>
        <w:szCs w:val="36"/>
      </w:rPr>
    </w:pPr>
    <w:r>
      <w:rPr>
        <w:rFonts w:ascii="Bahnschrift SemiBold" w:hAnsi="Bahnschrift SemiBold"/>
        <w:sz w:val="36"/>
        <w:szCs w:val="36"/>
      </w:rPr>
      <w:t xml:space="preserve">CONSISTENCY: </w:t>
    </w:r>
    <w:r w:rsidR="000D53B8" w:rsidRPr="00076885">
      <w:rPr>
        <w:rFonts w:ascii="Bahnschrift SemiBold" w:hAnsi="Bahnschrift SemiBold"/>
        <w:sz w:val="36"/>
        <w:szCs w:val="36"/>
      </w:rPr>
      <w:t>Journal of Communication and Information</w:t>
    </w:r>
    <w:r>
      <w:rPr>
        <w:rFonts w:ascii="Bahnschrift SemiBold" w:hAnsi="Bahnschrift SemiBold"/>
        <w:sz w:val="36"/>
        <w:szCs w:val="36"/>
      </w:rPr>
      <w:t xml:space="preserve"> </w:t>
    </w:r>
    <w:r w:rsidR="00BE285B" w:rsidRPr="00076885">
      <w:rPr>
        <w:rFonts w:ascii="Bahnschrift SemiBold" w:hAnsi="Bahnschrift SemiBold"/>
        <w:sz w:val="36"/>
        <w:szCs w:val="36"/>
      </w:rPr>
      <w:t>In</w:t>
    </w:r>
    <w:r w:rsidR="000D53B8" w:rsidRPr="00076885">
      <w:rPr>
        <w:rFonts w:ascii="Bahnschrift SemiBold" w:hAnsi="Bahnschrift SemiBold"/>
        <w:sz w:val="36"/>
        <w:szCs w:val="36"/>
      </w:rPr>
      <w:t xml:space="preserve"> Accountancy</w:t>
    </w:r>
  </w:p>
  <w:p w14:paraId="32D1158B" w14:textId="64CF5D0C" w:rsidR="000D53B8" w:rsidRDefault="007109EC" w:rsidP="00053493">
    <w:pPr>
      <w:spacing w:before="12" w:line="207" w:lineRule="exact"/>
      <w:rPr>
        <w:b/>
        <w:sz w:val="18"/>
      </w:rPr>
    </w:pPr>
    <w:hyperlink r:id="rId2" w:history="1">
      <w:r w:rsidRPr="00835EF7">
        <w:rPr>
          <w:rStyle w:val="Hyperlink"/>
          <w:b/>
          <w:sz w:val="18"/>
        </w:rPr>
        <w:t>https://jurnal.ut.ac.id/index.php/consistency</w:t>
      </w:r>
    </w:hyperlink>
  </w:p>
  <w:p w14:paraId="29A471A9" w14:textId="77777777" w:rsidR="007109EC" w:rsidRPr="00BE761A" w:rsidRDefault="007109EC" w:rsidP="00053493">
    <w:pPr>
      <w:spacing w:before="12" w:line="207" w:lineRule="exact"/>
      <w:rPr>
        <w:b/>
        <w:sz w:val="18"/>
      </w:rPr>
    </w:pPr>
  </w:p>
  <w:p w14:paraId="323F435A" w14:textId="070EB528" w:rsidR="00BE761A" w:rsidRPr="000D53B8" w:rsidRDefault="00BE761A" w:rsidP="0005349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BEF6" w14:textId="77777777" w:rsidR="00B442F5" w:rsidRDefault="00B44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5DE3"/>
    <w:multiLevelType w:val="hybridMultilevel"/>
    <w:tmpl w:val="0E1478FC"/>
    <w:lvl w:ilvl="0" w:tplc="C5CA86F0">
      <w:start w:val="1"/>
      <w:numFmt w:val="bullet"/>
      <w:lvlText w:val="-"/>
      <w:lvlJc w:val="left"/>
      <w:pPr>
        <w:ind w:left="1647" w:hanging="360"/>
      </w:pPr>
      <w:rPr>
        <w:rFonts w:ascii="Book Antiqua" w:eastAsia="Times New Roman" w:hAnsi="Book Antiqua"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106B0801"/>
    <w:multiLevelType w:val="hybridMultilevel"/>
    <w:tmpl w:val="E3FE0200"/>
    <w:lvl w:ilvl="0" w:tplc="2F16A42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19A7BB6"/>
    <w:multiLevelType w:val="hybridMultilevel"/>
    <w:tmpl w:val="9F366804"/>
    <w:lvl w:ilvl="0" w:tplc="E3304926">
      <w:start w:val="1"/>
      <w:numFmt w:val="lowerLetter"/>
      <w:lvlText w:val="%1."/>
      <w:lvlJc w:val="left"/>
      <w:pPr>
        <w:ind w:left="1287" w:hanging="360"/>
      </w:pPr>
      <w:rPr>
        <w:rFonts w:ascii="Book Antiqua" w:eastAsia="Times New Roman" w:hAnsi="Book Antiqua" w:cs="Times New Roman"/>
        <w:b w:val="0"/>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2340F5E"/>
    <w:multiLevelType w:val="hybridMultilevel"/>
    <w:tmpl w:val="38E29E60"/>
    <w:lvl w:ilvl="0" w:tplc="C58AF964">
      <w:start w:val="1"/>
      <w:numFmt w:val="decimal"/>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0273298"/>
    <w:multiLevelType w:val="hybridMultilevel"/>
    <w:tmpl w:val="7E24B8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E8806A4"/>
    <w:multiLevelType w:val="hybridMultilevel"/>
    <w:tmpl w:val="E272E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622136"/>
    <w:multiLevelType w:val="hybridMultilevel"/>
    <w:tmpl w:val="DD942844"/>
    <w:lvl w:ilvl="0" w:tplc="38243B78">
      <w:start w:val="1"/>
      <w:numFmt w:val="decimal"/>
      <w:lvlText w:val="%1."/>
      <w:lvlJc w:val="left"/>
      <w:pPr>
        <w:ind w:left="1447" w:hanging="8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A012E2C"/>
    <w:multiLevelType w:val="hybridMultilevel"/>
    <w:tmpl w:val="226CEF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5EA93FA0"/>
    <w:multiLevelType w:val="hybridMultilevel"/>
    <w:tmpl w:val="A7E204F6"/>
    <w:lvl w:ilvl="0" w:tplc="0421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79497B"/>
    <w:multiLevelType w:val="hybridMultilevel"/>
    <w:tmpl w:val="B900C09E"/>
    <w:lvl w:ilvl="0" w:tplc="1A9AE5B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229C0"/>
    <w:multiLevelType w:val="hybridMultilevel"/>
    <w:tmpl w:val="059E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61CBE"/>
    <w:multiLevelType w:val="hybridMultilevel"/>
    <w:tmpl w:val="DAA0EA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5B444D6"/>
    <w:multiLevelType w:val="hybridMultilevel"/>
    <w:tmpl w:val="09A421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79C64A4"/>
    <w:multiLevelType w:val="hybridMultilevel"/>
    <w:tmpl w:val="112E948A"/>
    <w:lvl w:ilvl="0" w:tplc="B02E5A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FBA4BE1"/>
    <w:multiLevelType w:val="hybridMultilevel"/>
    <w:tmpl w:val="19B82F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69377335">
    <w:abstractNumId w:val="11"/>
  </w:num>
  <w:num w:numId="2" w16cid:durableId="1431927662">
    <w:abstractNumId w:val="4"/>
  </w:num>
  <w:num w:numId="3" w16cid:durableId="1725251997">
    <w:abstractNumId w:val="7"/>
  </w:num>
  <w:num w:numId="4" w16cid:durableId="1963421810">
    <w:abstractNumId w:val="8"/>
  </w:num>
  <w:num w:numId="5" w16cid:durableId="1588271627">
    <w:abstractNumId w:val="5"/>
  </w:num>
  <w:num w:numId="6" w16cid:durableId="69159190">
    <w:abstractNumId w:val="3"/>
  </w:num>
  <w:num w:numId="7" w16cid:durableId="1782919197">
    <w:abstractNumId w:val="12"/>
  </w:num>
  <w:num w:numId="8" w16cid:durableId="355808543">
    <w:abstractNumId w:val="6"/>
  </w:num>
  <w:num w:numId="9" w16cid:durableId="599682801">
    <w:abstractNumId w:val="13"/>
  </w:num>
  <w:num w:numId="10" w16cid:durableId="94446494">
    <w:abstractNumId w:val="2"/>
  </w:num>
  <w:num w:numId="11" w16cid:durableId="1314600835">
    <w:abstractNumId w:val="0"/>
  </w:num>
  <w:num w:numId="12" w16cid:durableId="1169832259">
    <w:abstractNumId w:val="9"/>
  </w:num>
  <w:num w:numId="13" w16cid:durableId="1800414797">
    <w:abstractNumId w:val="1"/>
  </w:num>
  <w:num w:numId="14" w16cid:durableId="748429597">
    <w:abstractNumId w:val="14"/>
  </w:num>
  <w:num w:numId="15" w16cid:durableId="875971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56"/>
    <w:rsid w:val="00013707"/>
    <w:rsid w:val="000360A8"/>
    <w:rsid w:val="00053493"/>
    <w:rsid w:val="00054FBB"/>
    <w:rsid w:val="000579C3"/>
    <w:rsid w:val="00062DEB"/>
    <w:rsid w:val="00070D1E"/>
    <w:rsid w:val="00076885"/>
    <w:rsid w:val="000C0D14"/>
    <w:rsid w:val="000C6E2C"/>
    <w:rsid w:val="000D53B8"/>
    <w:rsid w:val="0010794D"/>
    <w:rsid w:val="00124D7B"/>
    <w:rsid w:val="00131EDC"/>
    <w:rsid w:val="00156460"/>
    <w:rsid w:val="0015783A"/>
    <w:rsid w:val="0019544D"/>
    <w:rsid w:val="00196BD1"/>
    <w:rsid w:val="001A4DBC"/>
    <w:rsid w:val="001B4491"/>
    <w:rsid w:val="001B5D5A"/>
    <w:rsid w:val="001B6A54"/>
    <w:rsid w:val="001D6C19"/>
    <w:rsid w:val="001D7CCD"/>
    <w:rsid w:val="001E4D32"/>
    <w:rsid w:val="00222440"/>
    <w:rsid w:val="002369F5"/>
    <w:rsid w:val="00242282"/>
    <w:rsid w:val="00243447"/>
    <w:rsid w:val="00243B0C"/>
    <w:rsid w:val="00284CF3"/>
    <w:rsid w:val="002B3428"/>
    <w:rsid w:val="002C3F14"/>
    <w:rsid w:val="002D1713"/>
    <w:rsid w:val="00300B2F"/>
    <w:rsid w:val="00307498"/>
    <w:rsid w:val="003165E4"/>
    <w:rsid w:val="003335B3"/>
    <w:rsid w:val="00334A27"/>
    <w:rsid w:val="00344BF4"/>
    <w:rsid w:val="003521F0"/>
    <w:rsid w:val="00364915"/>
    <w:rsid w:val="00371B20"/>
    <w:rsid w:val="003742FF"/>
    <w:rsid w:val="0037703E"/>
    <w:rsid w:val="00381E5A"/>
    <w:rsid w:val="003C0647"/>
    <w:rsid w:val="003C5E14"/>
    <w:rsid w:val="003C6A07"/>
    <w:rsid w:val="003E11CD"/>
    <w:rsid w:val="003E3EDF"/>
    <w:rsid w:val="003F208F"/>
    <w:rsid w:val="003F3364"/>
    <w:rsid w:val="003F789D"/>
    <w:rsid w:val="00430CB4"/>
    <w:rsid w:val="004445D4"/>
    <w:rsid w:val="00462215"/>
    <w:rsid w:val="00487456"/>
    <w:rsid w:val="004919AD"/>
    <w:rsid w:val="004C580F"/>
    <w:rsid w:val="004D1283"/>
    <w:rsid w:val="004E44A5"/>
    <w:rsid w:val="004E656C"/>
    <w:rsid w:val="0050026D"/>
    <w:rsid w:val="00502163"/>
    <w:rsid w:val="00526CED"/>
    <w:rsid w:val="00536AE6"/>
    <w:rsid w:val="00536E5B"/>
    <w:rsid w:val="00567442"/>
    <w:rsid w:val="005A7ACF"/>
    <w:rsid w:val="005C2FFB"/>
    <w:rsid w:val="005D6E45"/>
    <w:rsid w:val="005F1141"/>
    <w:rsid w:val="005F35E5"/>
    <w:rsid w:val="005F728A"/>
    <w:rsid w:val="00602BA0"/>
    <w:rsid w:val="00640876"/>
    <w:rsid w:val="00640C58"/>
    <w:rsid w:val="0065045B"/>
    <w:rsid w:val="00660B7C"/>
    <w:rsid w:val="006E0596"/>
    <w:rsid w:val="007109EC"/>
    <w:rsid w:val="00783C12"/>
    <w:rsid w:val="007944EF"/>
    <w:rsid w:val="007A7A4C"/>
    <w:rsid w:val="007E2965"/>
    <w:rsid w:val="0081129E"/>
    <w:rsid w:val="0081319C"/>
    <w:rsid w:val="00813A9A"/>
    <w:rsid w:val="008314E4"/>
    <w:rsid w:val="008325AB"/>
    <w:rsid w:val="00836041"/>
    <w:rsid w:val="00843C79"/>
    <w:rsid w:val="00853905"/>
    <w:rsid w:val="00862915"/>
    <w:rsid w:val="00891B7B"/>
    <w:rsid w:val="008D7EDE"/>
    <w:rsid w:val="008E7D04"/>
    <w:rsid w:val="008F133D"/>
    <w:rsid w:val="00902E98"/>
    <w:rsid w:val="00906A7F"/>
    <w:rsid w:val="00932406"/>
    <w:rsid w:val="00932CC4"/>
    <w:rsid w:val="00934C24"/>
    <w:rsid w:val="0095570B"/>
    <w:rsid w:val="00960BB5"/>
    <w:rsid w:val="00980D7F"/>
    <w:rsid w:val="00991B23"/>
    <w:rsid w:val="00997A4E"/>
    <w:rsid w:val="009A1B1A"/>
    <w:rsid w:val="009A2B84"/>
    <w:rsid w:val="009B22BD"/>
    <w:rsid w:val="009B458F"/>
    <w:rsid w:val="009D0A57"/>
    <w:rsid w:val="009D0BB8"/>
    <w:rsid w:val="00A1789A"/>
    <w:rsid w:val="00A555E0"/>
    <w:rsid w:val="00AC2D22"/>
    <w:rsid w:val="00AD1CB6"/>
    <w:rsid w:val="00AD60B9"/>
    <w:rsid w:val="00AF7529"/>
    <w:rsid w:val="00B034DD"/>
    <w:rsid w:val="00B25167"/>
    <w:rsid w:val="00B34FFA"/>
    <w:rsid w:val="00B366AF"/>
    <w:rsid w:val="00B376A1"/>
    <w:rsid w:val="00B442F5"/>
    <w:rsid w:val="00B4741A"/>
    <w:rsid w:val="00B57F77"/>
    <w:rsid w:val="00B62F1A"/>
    <w:rsid w:val="00B86FC6"/>
    <w:rsid w:val="00B904DC"/>
    <w:rsid w:val="00BA1D5D"/>
    <w:rsid w:val="00BA49A5"/>
    <w:rsid w:val="00BC42B9"/>
    <w:rsid w:val="00BD02C9"/>
    <w:rsid w:val="00BD4609"/>
    <w:rsid w:val="00BE285B"/>
    <w:rsid w:val="00BE761A"/>
    <w:rsid w:val="00C02C83"/>
    <w:rsid w:val="00C27A88"/>
    <w:rsid w:val="00C96B33"/>
    <w:rsid w:val="00CA4ADB"/>
    <w:rsid w:val="00CE3508"/>
    <w:rsid w:val="00CF69F5"/>
    <w:rsid w:val="00D16174"/>
    <w:rsid w:val="00D33D88"/>
    <w:rsid w:val="00D434AC"/>
    <w:rsid w:val="00D60602"/>
    <w:rsid w:val="00DB1F4F"/>
    <w:rsid w:val="00DB3F85"/>
    <w:rsid w:val="00DC1835"/>
    <w:rsid w:val="00DC2978"/>
    <w:rsid w:val="00DC716A"/>
    <w:rsid w:val="00E147AE"/>
    <w:rsid w:val="00E35D67"/>
    <w:rsid w:val="00E80D92"/>
    <w:rsid w:val="00E81562"/>
    <w:rsid w:val="00EA0116"/>
    <w:rsid w:val="00EB270F"/>
    <w:rsid w:val="00EC07CD"/>
    <w:rsid w:val="00EE57A9"/>
    <w:rsid w:val="00F13218"/>
    <w:rsid w:val="00F211A1"/>
    <w:rsid w:val="00F47F8A"/>
    <w:rsid w:val="00F74B4B"/>
    <w:rsid w:val="00F86901"/>
    <w:rsid w:val="00F909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2E47"/>
  <w15:docId w15:val="{EECB3D25-BDB7-4C66-AB3B-76C44197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60"/>
      <w:outlineLvl w:val="0"/>
    </w:pPr>
    <w:rPr>
      <w:b/>
      <w:bCs/>
      <w:sz w:val="24"/>
      <w:szCs w:val="24"/>
    </w:rPr>
  </w:style>
  <w:style w:type="paragraph" w:styleId="Heading2">
    <w:name w:val="heading 2"/>
    <w:basedOn w:val="Normal"/>
    <w:next w:val="Normal"/>
    <w:link w:val="Heading2Char"/>
    <w:uiPriority w:val="9"/>
    <w:unhideWhenUsed/>
    <w:qFormat/>
    <w:rsid w:val="008F133D"/>
    <w:pPr>
      <w:keepNext/>
      <w:keepLines/>
      <w:widowControl/>
      <w:autoSpaceDE/>
      <w:autoSpaceDN/>
      <w:spacing w:before="120" w:after="120" w:line="276" w:lineRule="auto"/>
      <w:outlineLvl w:val="1"/>
    </w:pPr>
    <w:rPr>
      <w:rFonts w:ascii="Arial" w:eastAsiaTheme="majorEastAsia" w:hAnsi="Arial" w:cstheme="majorBidi"/>
      <w:b/>
      <w:color w:val="000000" w:themeColor="text1"/>
      <w:szCs w:val="26"/>
      <w:lang w:val="en-GB"/>
    </w:rPr>
  </w:style>
  <w:style w:type="paragraph" w:styleId="Heading3">
    <w:name w:val="heading 3"/>
    <w:aliases w:val="ABSTRACT"/>
    <w:basedOn w:val="Normal"/>
    <w:next w:val="Normal"/>
    <w:link w:val="Heading3Char"/>
    <w:uiPriority w:val="9"/>
    <w:unhideWhenUsed/>
    <w:qFormat/>
    <w:rsid w:val="008F133D"/>
    <w:pPr>
      <w:keepNext/>
      <w:keepLines/>
      <w:widowControl/>
      <w:autoSpaceDE/>
      <w:autoSpaceDN/>
      <w:spacing w:before="240" w:after="240" w:line="276" w:lineRule="auto"/>
      <w:jc w:val="center"/>
      <w:outlineLvl w:val="2"/>
    </w:pPr>
    <w:rPr>
      <w:rFonts w:eastAsiaTheme="majorEastAsia" w:cstheme="majorBidi"/>
      <w:b/>
      <w:color w:val="000000" w:themeColor="text1"/>
      <w:szCs w:val="24"/>
      <w:lang w:val="en-GB"/>
    </w:rPr>
  </w:style>
  <w:style w:type="paragraph" w:styleId="Heading4">
    <w:name w:val="heading 4"/>
    <w:basedOn w:val="Normal"/>
    <w:next w:val="Normal"/>
    <w:link w:val="Heading4Char"/>
    <w:uiPriority w:val="9"/>
    <w:semiHidden/>
    <w:unhideWhenUsed/>
    <w:qFormat/>
    <w:rsid w:val="008F133D"/>
    <w:pPr>
      <w:keepNext/>
      <w:keepLines/>
      <w:widowControl/>
      <w:autoSpaceDE/>
      <w:autoSpaceDN/>
      <w:spacing w:before="40" w:line="276" w:lineRule="auto"/>
      <w:jc w:val="both"/>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460"/>
      <w:jc w:val="both"/>
    </w:pPr>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5D67"/>
    <w:pPr>
      <w:tabs>
        <w:tab w:val="center" w:pos="4513"/>
        <w:tab w:val="right" w:pos="9026"/>
      </w:tabs>
    </w:pPr>
  </w:style>
  <w:style w:type="character" w:customStyle="1" w:styleId="HeaderChar">
    <w:name w:val="Header Char"/>
    <w:basedOn w:val="DefaultParagraphFont"/>
    <w:link w:val="Header"/>
    <w:uiPriority w:val="99"/>
    <w:rsid w:val="00E35D67"/>
    <w:rPr>
      <w:rFonts w:ascii="Times New Roman" w:eastAsia="Times New Roman" w:hAnsi="Times New Roman" w:cs="Times New Roman"/>
    </w:rPr>
  </w:style>
  <w:style w:type="paragraph" w:styleId="Footer">
    <w:name w:val="footer"/>
    <w:basedOn w:val="Normal"/>
    <w:link w:val="FooterChar"/>
    <w:uiPriority w:val="99"/>
    <w:unhideWhenUsed/>
    <w:rsid w:val="00E35D67"/>
    <w:pPr>
      <w:tabs>
        <w:tab w:val="center" w:pos="4513"/>
        <w:tab w:val="right" w:pos="9026"/>
      </w:tabs>
    </w:pPr>
  </w:style>
  <w:style w:type="character" w:customStyle="1" w:styleId="FooterChar">
    <w:name w:val="Footer Char"/>
    <w:basedOn w:val="DefaultParagraphFont"/>
    <w:link w:val="Footer"/>
    <w:uiPriority w:val="99"/>
    <w:rsid w:val="00E35D67"/>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F133D"/>
    <w:rPr>
      <w:rFonts w:ascii="Arial" w:eastAsiaTheme="majorEastAsia" w:hAnsi="Arial" w:cstheme="majorBidi"/>
      <w:b/>
      <w:color w:val="000000" w:themeColor="text1"/>
      <w:szCs w:val="26"/>
      <w:lang w:val="en-GB"/>
    </w:rPr>
  </w:style>
  <w:style w:type="character" w:customStyle="1" w:styleId="Heading3Char">
    <w:name w:val="Heading 3 Char"/>
    <w:aliases w:val="ABSTRACT Char"/>
    <w:basedOn w:val="DefaultParagraphFont"/>
    <w:link w:val="Heading3"/>
    <w:uiPriority w:val="9"/>
    <w:rsid w:val="008F133D"/>
    <w:rPr>
      <w:rFonts w:ascii="Times New Roman" w:eastAsiaTheme="majorEastAsia" w:hAnsi="Times New Roman" w:cstheme="majorBidi"/>
      <w:b/>
      <w:color w:val="000000" w:themeColor="text1"/>
      <w:szCs w:val="24"/>
      <w:lang w:val="en-GB"/>
    </w:rPr>
  </w:style>
  <w:style w:type="character" w:customStyle="1" w:styleId="Heading4Char">
    <w:name w:val="Heading 4 Char"/>
    <w:basedOn w:val="DefaultParagraphFont"/>
    <w:link w:val="Heading4"/>
    <w:uiPriority w:val="9"/>
    <w:semiHidden/>
    <w:rsid w:val="008F133D"/>
    <w:rPr>
      <w:rFonts w:asciiTheme="majorHAnsi" w:eastAsiaTheme="majorEastAsia" w:hAnsiTheme="majorHAnsi" w:cstheme="majorBidi"/>
      <w:i/>
      <w:iCs/>
      <w:color w:val="365F91" w:themeColor="accent1" w:themeShade="BF"/>
      <w:lang w:val="en-GB"/>
    </w:rPr>
  </w:style>
  <w:style w:type="paragraph" w:customStyle="1" w:styleId="8aHeading1">
    <w:name w:val="8a. Heading 1"/>
    <w:basedOn w:val="Normal"/>
    <w:link w:val="8aHeading1Char"/>
    <w:rsid w:val="008F133D"/>
    <w:pPr>
      <w:widowControl/>
      <w:autoSpaceDE/>
      <w:autoSpaceDN/>
      <w:spacing w:before="360" w:after="360" w:line="276" w:lineRule="auto"/>
      <w:jc w:val="both"/>
    </w:pPr>
    <w:rPr>
      <w:rFonts w:ascii="Arial" w:eastAsiaTheme="minorHAnsi" w:hAnsi="Arial" w:cstheme="minorBidi"/>
      <w:b/>
      <w:caps/>
      <w:sz w:val="24"/>
      <w:lang w:val="en-GB"/>
    </w:rPr>
  </w:style>
  <w:style w:type="character" w:customStyle="1" w:styleId="8aHeading1Char">
    <w:name w:val="8a. Heading 1 Char"/>
    <w:basedOn w:val="DefaultParagraphFont"/>
    <w:link w:val="8aHeading1"/>
    <w:rsid w:val="008F133D"/>
    <w:rPr>
      <w:rFonts w:ascii="Arial" w:hAnsi="Arial"/>
      <w:b/>
      <w:caps/>
      <w:sz w:val="24"/>
      <w:lang w:val="en-GB"/>
    </w:rPr>
  </w:style>
  <w:style w:type="paragraph" w:customStyle="1" w:styleId="8bHeading2">
    <w:name w:val="8b. Heading 2"/>
    <w:basedOn w:val="Normal"/>
    <w:link w:val="8bHeading2Char"/>
    <w:rsid w:val="008F133D"/>
    <w:pPr>
      <w:widowControl/>
      <w:autoSpaceDE/>
      <w:autoSpaceDN/>
      <w:spacing w:before="240" w:after="240" w:line="276" w:lineRule="auto"/>
      <w:jc w:val="both"/>
    </w:pPr>
    <w:rPr>
      <w:rFonts w:ascii="Arial" w:eastAsiaTheme="minorHAnsi" w:hAnsi="Arial" w:cstheme="minorBidi"/>
      <w:b/>
    </w:rPr>
  </w:style>
  <w:style w:type="character" w:customStyle="1" w:styleId="8bHeading2Char">
    <w:name w:val="8b. Heading 2 Char"/>
    <w:basedOn w:val="DefaultParagraphFont"/>
    <w:link w:val="8bHeading2"/>
    <w:rsid w:val="008F133D"/>
    <w:rPr>
      <w:rFonts w:ascii="Arial" w:hAnsi="Arial"/>
      <w:b/>
    </w:rPr>
  </w:style>
  <w:style w:type="paragraph" w:customStyle="1" w:styleId="9cSubtitle3Text">
    <w:name w:val="9c. Subtitle 3 Text"/>
    <w:basedOn w:val="Normal"/>
    <w:link w:val="9cSubtitle3TextChar"/>
    <w:rsid w:val="008F133D"/>
    <w:pPr>
      <w:widowControl/>
      <w:autoSpaceDE/>
      <w:autoSpaceDN/>
      <w:spacing w:before="240" w:after="240" w:line="276" w:lineRule="auto"/>
      <w:ind w:firstLine="720"/>
      <w:jc w:val="both"/>
    </w:pPr>
    <w:rPr>
      <w:rFonts w:eastAsiaTheme="minorHAnsi" w:cstheme="minorBidi"/>
    </w:rPr>
  </w:style>
  <w:style w:type="paragraph" w:styleId="Caption">
    <w:name w:val="caption"/>
    <w:basedOn w:val="Normal"/>
    <w:next w:val="Normal"/>
    <w:uiPriority w:val="35"/>
    <w:unhideWhenUsed/>
    <w:qFormat/>
    <w:rsid w:val="008F133D"/>
    <w:pPr>
      <w:widowControl/>
      <w:autoSpaceDE/>
      <w:autoSpaceDN/>
      <w:spacing w:before="120" w:after="120" w:line="480" w:lineRule="auto"/>
      <w:jc w:val="center"/>
    </w:pPr>
    <w:rPr>
      <w:rFonts w:eastAsiaTheme="minorEastAsia" w:cstheme="minorBidi"/>
      <w:bCs/>
      <w:sz w:val="20"/>
      <w:szCs w:val="18"/>
      <w:lang w:val="en-MY" w:eastAsia="zh-CN"/>
    </w:rPr>
  </w:style>
  <w:style w:type="character" w:customStyle="1" w:styleId="9cSubtitle3TextChar">
    <w:name w:val="9c. Subtitle 3 Text Char"/>
    <w:basedOn w:val="DefaultParagraphFont"/>
    <w:link w:val="9cSubtitle3Text"/>
    <w:rsid w:val="008F133D"/>
    <w:rPr>
      <w:rFonts w:ascii="Times New Roman" w:hAnsi="Times New Roman"/>
    </w:rPr>
  </w:style>
  <w:style w:type="table" w:styleId="TableGrid">
    <w:name w:val="Table Grid"/>
    <w:basedOn w:val="TableNormal"/>
    <w:uiPriority w:val="59"/>
    <w:rsid w:val="008F133D"/>
    <w:pPr>
      <w:widowControl/>
      <w:autoSpaceDE/>
      <w:autoSpaceDN/>
    </w:pPr>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8F133D"/>
    <w:pPr>
      <w:widowControl/>
      <w:autoSpaceDE/>
      <w:autoSpaceDN/>
      <w:spacing w:before="240" w:line="360" w:lineRule="auto"/>
      <w:jc w:val="center"/>
    </w:pPr>
    <w:rPr>
      <w:rFonts w:ascii="Arial" w:eastAsiaTheme="minorHAnsi" w:hAnsi="Arial" w:cstheme="minorBidi"/>
      <w:sz w:val="18"/>
      <w:lang w:val="en-GB"/>
    </w:rPr>
  </w:style>
  <w:style w:type="character" w:customStyle="1" w:styleId="TableTextChar">
    <w:name w:val="Table Text Char"/>
    <w:basedOn w:val="DefaultParagraphFont"/>
    <w:link w:val="TableText"/>
    <w:rsid w:val="008F133D"/>
    <w:rPr>
      <w:rFonts w:ascii="Arial" w:hAnsi="Arial"/>
      <w:sz w:val="18"/>
      <w:lang w:val="en-GB"/>
    </w:rPr>
  </w:style>
  <w:style w:type="paragraph" w:customStyle="1" w:styleId="References">
    <w:name w:val="References"/>
    <w:basedOn w:val="8aHeading1"/>
    <w:link w:val="ReferencesChar"/>
    <w:qFormat/>
    <w:rsid w:val="008F133D"/>
    <w:pPr>
      <w:spacing w:before="120" w:after="120" w:line="240" w:lineRule="auto"/>
    </w:pPr>
    <w:rPr>
      <w:rFonts w:ascii="Times New Roman" w:hAnsi="Times New Roman"/>
      <w:b w:val="0"/>
      <w:caps w:val="0"/>
    </w:rPr>
  </w:style>
  <w:style w:type="character" w:customStyle="1" w:styleId="ReferencesChar">
    <w:name w:val="References Char"/>
    <w:basedOn w:val="8aHeading1Char"/>
    <w:link w:val="References"/>
    <w:rsid w:val="008F133D"/>
    <w:rPr>
      <w:rFonts w:ascii="Times New Roman" w:hAnsi="Times New Roman"/>
      <w:b w:val="0"/>
      <w:caps w:val="0"/>
      <w:sz w:val="24"/>
      <w:lang w:val="en-GB"/>
    </w:rPr>
  </w:style>
  <w:style w:type="character" w:customStyle="1" w:styleId="Heading1Char">
    <w:name w:val="Heading 1 Char"/>
    <w:basedOn w:val="DefaultParagraphFont"/>
    <w:link w:val="Heading1"/>
    <w:uiPriority w:val="9"/>
    <w:rsid w:val="008F133D"/>
    <w:rPr>
      <w:rFonts w:ascii="Times New Roman" w:eastAsia="Times New Roman" w:hAnsi="Times New Roman" w:cs="Times New Roman"/>
      <w:b/>
      <w:bCs/>
      <w:sz w:val="24"/>
      <w:szCs w:val="24"/>
    </w:rPr>
  </w:style>
  <w:style w:type="paragraph" w:customStyle="1" w:styleId="ABSTRACTCONTENT">
    <w:name w:val="ABSTRACT CONTENT"/>
    <w:basedOn w:val="Normal"/>
    <w:link w:val="ABSTRACTCONTENTChar"/>
    <w:qFormat/>
    <w:rsid w:val="008F133D"/>
    <w:pPr>
      <w:widowControl/>
      <w:autoSpaceDE/>
      <w:autoSpaceDN/>
      <w:spacing w:before="240" w:after="360"/>
      <w:jc w:val="both"/>
    </w:pPr>
    <w:rPr>
      <w:rFonts w:eastAsiaTheme="minorHAnsi" w:cstheme="minorBidi"/>
      <w:i/>
      <w:color w:val="000000" w:themeColor="text1"/>
    </w:rPr>
  </w:style>
  <w:style w:type="character" w:customStyle="1" w:styleId="ABSTRACTCONTENTChar">
    <w:name w:val="ABSTRACT CONTENT Char"/>
    <w:basedOn w:val="DefaultParagraphFont"/>
    <w:link w:val="ABSTRACTCONTENT"/>
    <w:rsid w:val="008F133D"/>
    <w:rPr>
      <w:rFonts w:ascii="Times New Roman" w:hAnsi="Times New Roman"/>
      <w:i/>
      <w:color w:val="000000" w:themeColor="text1"/>
    </w:rPr>
  </w:style>
  <w:style w:type="character" w:styleId="Hyperlink">
    <w:name w:val="Hyperlink"/>
    <w:uiPriority w:val="99"/>
    <w:unhideWhenUsed/>
    <w:rsid w:val="008F133D"/>
    <w:rPr>
      <w:color w:val="0563C1"/>
      <w:u w:val="single"/>
    </w:rPr>
  </w:style>
  <w:style w:type="character" w:styleId="FootnoteReference">
    <w:name w:val="footnote reference"/>
    <w:basedOn w:val="DefaultParagraphFont"/>
    <w:uiPriority w:val="99"/>
    <w:semiHidden/>
    <w:unhideWhenUsed/>
    <w:rsid w:val="008F133D"/>
    <w:rPr>
      <w:vertAlign w:val="superscript"/>
    </w:rPr>
  </w:style>
  <w:style w:type="character" w:customStyle="1" w:styleId="BodyTextChar">
    <w:name w:val="Body Text Char"/>
    <w:basedOn w:val="DefaultParagraphFont"/>
    <w:link w:val="BodyText"/>
    <w:uiPriority w:val="99"/>
    <w:rsid w:val="008F133D"/>
    <w:rPr>
      <w:rFonts w:ascii="Times New Roman" w:eastAsia="Times New Roman" w:hAnsi="Times New Roman" w:cs="Times New Roman"/>
      <w:sz w:val="24"/>
      <w:szCs w:val="24"/>
    </w:rPr>
  </w:style>
  <w:style w:type="character" w:customStyle="1" w:styleId="markedcontent">
    <w:name w:val="markedcontent"/>
    <w:basedOn w:val="DefaultParagraphFont"/>
    <w:rsid w:val="008F133D"/>
  </w:style>
  <w:style w:type="table" w:customStyle="1" w:styleId="TableGrid1">
    <w:name w:val="Table Grid1"/>
    <w:basedOn w:val="TableNormal"/>
    <w:next w:val="TableGrid"/>
    <w:uiPriority w:val="59"/>
    <w:rsid w:val="008F133D"/>
    <w:pPr>
      <w:widowControl/>
      <w:autoSpaceDE/>
      <w:autoSpaceDN/>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0D7F"/>
    <w:rPr>
      <w:color w:val="605E5C"/>
      <w:shd w:val="clear" w:color="auto" w:fill="E1DFDD"/>
    </w:rPr>
  </w:style>
  <w:style w:type="character" w:customStyle="1" w:styleId="ListParagraphChar">
    <w:name w:val="List Paragraph Char"/>
    <w:link w:val="ListParagraph"/>
    <w:uiPriority w:val="34"/>
    <w:rsid w:val="00836041"/>
    <w:rPr>
      <w:rFonts w:ascii="Times New Roman" w:eastAsia="Times New Roman" w:hAnsi="Times New Roman" w:cs="Times New Roman"/>
    </w:rPr>
  </w:style>
  <w:style w:type="paragraph" w:styleId="NormalWeb">
    <w:name w:val="Normal (Web)"/>
    <w:basedOn w:val="Normal"/>
    <w:uiPriority w:val="99"/>
    <w:unhideWhenUsed/>
    <w:rsid w:val="00960BB5"/>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960BB5"/>
    <w:rPr>
      <w:b/>
      <w:bCs/>
    </w:rPr>
  </w:style>
  <w:style w:type="character" w:customStyle="1" w:styleId="w8qarf">
    <w:name w:val="w8qarf"/>
    <w:basedOn w:val="DefaultParagraphFont"/>
    <w:rsid w:val="00960BB5"/>
  </w:style>
  <w:style w:type="character" w:customStyle="1" w:styleId="lrzxr">
    <w:name w:val="lrzxr"/>
    <w:basedOn w:val="DefaultParagraphFont"/>
    <w:rsid w:val="00960BB5"/>
  </w:style>
  <w:style w:type="character" w:styleId="UnresolvedMention">
    <w:name w:val="Unresolved Mention"/>
    <w:basedOn w:val="DefaultParagraphFont"/>
    <w:uiPriority w:val="99"/>
    <w:semiHidden/>
    <w:unhideWhenUsed/>
    <w:rsid w:val="007109EC"/>
    <w:rPr>
      <w:color w:val="605E5C"/>
      <w:shd w:val="clear" w:color="auto" w:fill="E1DFDD"/>
    </w:rPr>
  </w:style>
  <w:style w:type="character" w:styleId="PageNumber">
    <w:name w:val="page number"/>
    <w:basedOn w:val="DefaultParagraphFont"/>
    <w:uiPriority w:val="99"/>
    <w:semiHidden/>
    <w:unhideWhenUsed/>
    <w:rsid w:val="00C2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0554">
      <w:bodyDiv w:val="1"/>
      <w:marLeft w:val="0"/>
      <w:marRight w:val="0"/>
      <w:marTop w:val="0"/>
      <w:marBottom w:val="0"/>
      <w:divBdr>
        <w:top w:val="none" w:sz="0" w:space="0" w:color="auto"/>
        <w:left w:val="none" w:sz="0" w:space="0" w:color="auto"/>
        <w:bottom w:val="none" w:sz="0" w:space="0" w:color="auto"/>
        <w:right w:val="none" w:sz="0" w:space="0" w:color="auto"/>
      </w:divBdr>
    </w:div>
    <w:div w:id="211890281">
      <w:bodyDiv w:val="1"/>
      <w:marLeft w:val="0"/>
      <w:marRight w:val="0"/>
      <w:marTop w:val="0"/>
      <w:marBottom w:val="0"/>
      <w:divBdr>
        <w:top w:val="none" w:sz="0" w:space="0" w:color="auto"/>
        <w:left w:val="none" w:sz="0" w:space="0" w:color="auto"/>
        <w:bottom w:val="none" w:sz="0" w:space="0" w:color="auto"/>
        <w:right w:val="none" w:sz="0" w:space="0" w:color="auto"/>
      </w:divBdr>
    </w:div>
    <w:div w:id="389959859">
      <w:bodyDiv w:val="1"/>
      <w:marLeft w:val="0"/>
      <w:marRight w:val="0"/>
      <w:marTop w:val="0"/>
      <w:marBottom w:val="0"/>
      <w:divBdr>
        <w:top w:val="none" w:sz="0" w:space="0" w:color="auto"/>
        <w:left w:val="none" w:sz="0" w:space="0" w:color="auto"/>
        <w:bottom w:val="none" w:sz="0" w:space="0" w:color="auto"/>
        <w:right w:val="none" w:sz="0" w:space="0" w:color="auto"/>
      </w:divBdr>
    </w:div>
    <w:div w:id="665086819">
      <w:bodyDiv w:val="1"/>
      <w:marLeft w:val="0"/>
      <w:marRight w:val="0"/>
      <w:marTop w:val="0"/>
      <w:marBottom w:val="0"/>
      <w:divBdr>
        <w:top w:val="none" w:sz="0" w:space="0" w:color="auto"/>
        <w:left w:val="none" w:sz="0" w:space="0" w:color="auto"/>
        <w:bottom w:val="none" w:sz="0" w:space="0" w:color="auto"/>
        <w:right w:val="none" w:sz="0" w:space="0" w:color="auto"/>
      </w:divBdr>
    </w:div>
    <w:div w:id="726227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utami@ecampus.ut.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kaxxx@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jurnal.ut.ac.id/index.php/consistency"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s://jurnal.ut.ac.id/index.php/consistency"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4B44-1D67-4A18-9D60-CF96478A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firdaus razab</dc:creator>
  <cp:lastModifiedBy>Sakina Nusarifa Tantri, S.E., M.Sc.</cp:lastModifiedBy>
  <cp:revision>5</cp:revision>
  <dcterms:created xsi:type="dcterms:W3CDTF">2025-07-02T03:57:00Z</dcterms:created>
  <dcterms:modified xsi:type="dcterms:W3CDTF">2025-08-12T01:40:00Z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Microsoft® Word for Microsoft 365</vt:lpwstr>
  </property>
  <property fmtid="{D5CDD505-2E9C-101B-9397-08002B2CF9AE}" pid="4" name="LastSaved">
    <vt:filetime>2022-09-14T00:00:00Z</vt:filetime>
  </property>
</Properties>
</file>